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F2" w:rsidRDefault="00E22FF2" w:rsidP="00A27CF1">
      <w:pPr>
        <w:jc w:val="both"/>
        <w:rPr>
          <w:rFonts w:ascii="Garamond" w:hAnsi="Garamond"/>
          <w:b/>
        </w:rPr>
      </w:pPr>
    </w:p>
    <w:p w:rsidR="00A27CF1" w:rsidRDefault="008F3A38" w:rsidP="00A27CF1">
      <w:pPr>
        <w:jc w:val="both"/>
        <w:rPr>
          <w:rFonts w:ascii="Garamond" w:hAnsi="Garamond"/>
          <w:b/>
        </w:rPr>
      </w:pPr>
      <w:r w:rsidRPr="002C1E04">
        <w:rPr>
          <w:rFonts w:ascii="Garamond" w:hAnsi="Garamond"/>
          <w:b/>
        </w:rPr>
        <w:t xml:space="preserve">What is a Decision Team Staffing (DTS)?  </w:t>
      </w:r>
    </w:p>
    <w:p w:rsidR="0094720C" w:rsidRDefault="008F3A38" w:rsidP="00A27CF1">
      <w:pPr>
        <w:jc w:val="both"/>
        <w:rPr>
          <w:rFonts w:ascii="Garamond" w:hAnsi="Garamond"/>
        </w:rPr>
      </w:pPr>
      <w:r w:rsidRPr="002C1E04">
        <w:rPr>
          <w:rFonts w:ascii="Garamond" w:hAnsi="Garamond"/>
        </w:rPr>
        <w:t xml:space="preserve">A DTS is a multi-disciplinary staffing that is scheduled to enhance the assessment and analysis of risk and safety factors and determine the services and </w:t>
      </w:r>
      <w:r w:rsidRPr="00ED5D56">
        <w:rPr>
          <w:rFonts w:ascii="Garamond" w:hAnsi="Garamond"/>
        </w:rPr>
        <w:t>supports available</w:t>
      </w:r>
      <w:r w:rsidRPr="002C1E04">
        <w:rPr>
          <w:rFonts w:ascii="Garamond" w:hAnsi="Garamond"/>
        </w:rPr>
        <w:t xml:space="preserve"> to mitigate safety concerns and begin to reduce risk of future abuse or neglect.  The overall goal is to </w:t>
      </w:r>
      <w:r w:rsidRPr="002C1E04">
        <w:rPr>
          <w:rFonts w:ascii="Garamond" w:hAnsi="Garamond"/>
          <w:u w:val="single"/>
        </w:rPr>
        <w:t>safely</w:t>
      </w:r>
      <w:r w:rsidRPr="002C1E04">
        <w:rPr>
          <w:rFonts w:ascii="Garamond" w:hAnsi="Garamond"/>
        </w:rPr>
        <w:t xml:space="preserve"> reduce the number of children removed from their homes. </w:t>
      </w:r>
    </w:p>
    <w:p w:rsidR="008F3A38" w:rsidRPr="002C1E04" w:rsidRDefault="008F3A38" w:rsidP="00A27CF1">
      <w:pPr>
        <w:jc w:val="both"/>
        <w:rPr>
          <w:rFonts w:ascii="Garamond" w:hAnsi="Garamond"/>
          <w:iCs/>
        </w:rPr>
      </w:pPr>
      <w:r w:rsidRPr="0094720C">
        <w:rPr>
          <w:rFonts w:ascii="Garamond" w:hAnsi="Garamond"/>
          <w:b/>
        </w:rPr>
        <w:t>Please note:</w:t>
      </w:r>
      <w:r w:rsidRPr="002C1E04">
        <w:rPr>
          <w:rFonts w:ascii="Garamond" w:hAnsi="Garamond"/>
        </w:rPr>
        <w:t xml:space="preserve"> </w:t>
      </w:r>
      <w:r w:rsidRPr="002C1E04">
        <w:rPr>
          <w:rFonts w:ascii="Garamond" w:hAnsi="Garamond"/>
          <w:iCs/>
        </w:rPr>
        <w:t>the acronyms DTS (Decision Team Staffing) and DTC (Decision Team Consultant) Staffing are often used interchangeably.</w:t>
      </w:r>
    </w:p>
    <w:p w:rsidR="008F3A38" w:rsidRPr="002C1E04" w:rsidRDefault="008F3A38" w:rsidP="00A27CF1">
      <w:pPr>
        <w:jc w:val="both"/>
        <w:rPr>
          <w:rFonts w:ascii="Garamond" w:hAnsi="Garamond"/>
        </w:rPr>
      </w:pPr>
    </w:p>
    <w:p w:rsidR="00A27CF1" w:rsidRDefault="008F3A38" w:rsidP="00A27CF1">
      <w:pPr>
        <w:jc w:val="both"/>
        <w:rPr>
          <w:rFonts w:ascii="Garamond" w:hAnsi="Garamond"/>
        </w:rPr>
      </w:pPr>
      <w:r w:rsidRPr="002C1E04">
        <w:rPr>
          <w:rFonts w:ascii="Garamond" w:hAnsi="Garamond"/>
          <w:b/>
          <w:bCs/>
        </w:rPr>
        <w:t>What is the purpose of a Decision Team Staffing?</w:t>
      </w:r>
      <w:r w:rsidRPr="002C1E04">
        <w:rPr>
          <w:rFonts w:ascii="Garamond" w:hAnsi="Garamond"/>
        </w:rPr>
        <w:t xml:space="preserve">  </w:t>
      </w:r>
    </w:p>
    <w:p w:rsidR="008F3A38" w:rsidRDefault="008F3A38" w:rsidP="00A27CF1">
      <w:pPr>
        <w:jc w:val="both"/>
        <w:rPr>
          <w:rFonts w:ascii="Garamond" w:hAnsi="Garamond"/>
        </w:rPr>
      </w:pPr>
      <w:r w:rsidRPr="002C1E04">
        <w:rPr>
          <w:rFonts w:ascii="Garamond" w:hAnsi="Garamond"/>
        </w:rPr>
        <w:t>The purpose of a DTS is to enhance the assessment and analysis of risk and safety factors through an expedited multidisciplinary team staffing process, to determine if a child can remain safely in their home.  The overall goal is to arrive at a shared decision on the best approach to mitigate safety concerns and begin to reduce risk of future abuse or neglect by providing expedited services and assistance to vulnerable families.</w:t>
      </w:r>
    </w:p>
    <w:p w:rsidR="008F3A38" w:rsidRPr="002C1E04" w:rsidRDefault="008F3A38" w:rsidP="00A27CF1">
      <w:pPr>
        <w:pStyle w:val="ListParagraph"/>
        <w:spacing w:after="200" w:line="276" w:lineRule="auto"/>
        <w:ind w:left="0"/>
        <w:contextualSpacing/>
        <w:jc w:val="both"/>
        <w:rPr>
          <w:rFonts w:ascii="Garamond" w:hAnsi="Garamond"/>
          <w:sz w:val="24"/>
          <w:szCs w:val="24"/>
        </w:rPr>
      </w:pPr>
    </w:p>
    <w:p w:rsidR="000C62AE" w:rsidRDefault="008C5265" w:rsidP="00A27CF1">
      <w:pPr>
        <w:pStyle w:val="ListParagraph"/>
        <w:spacing w:after="200"/>
        <w:ind w:left="0"/>
        <w:contextualSpacing/>
        <w:jc w:val="both"/>
        <w:rPr>
          <w:rFonts w:ascii="Garamond" w:hAnsi="Garamond"/>
          <w:b/>
          <w:sz w:val="24"/>
          <w:szCs w:val="24"/>
        </w:rPr>
      </w:pPr>
      <w:r>
        <w:rPr>
          <w:rFonts w:ascii="Garamond" w:hAnsi="Garamond"/>
          <w:b/>
          <w:sz w:val="24"/>
          <w:szCs w:val="24"/>
        </w:rPr>
        <w:t xml:space="preserve">What </w:t>
      </w:r>
      <w:proofErr w:type="gramStart"/>
      <w:r>
        <w:rPr>
          <w:rFonts w:ascii="Garamond" w:hAnsi="Garamond"/>
          <w:b/>
          <w:sz w:val="24"/>
          <w:szCs w:val="24"/>
        </w:rPr>
        <w:t>are</w:t>
      </w:r>
      <w:proofErr w:type="gramEnd"/>
      <w:r>
        <w:rPr>
          <w:rFonts w:ascii="Garamond" w:hAnsi="Garamond"/>
          <w:b/>
          <w:sz w:val="24"/>
          <w:szCs w:val="24"/>
        </w:rPr>
        <w:t xml:space="preserve"> the different case directions considered during a </w:t>
      </w:r>
      <w:r w:rsidR="000C62AE">
        <w:rPr>
          <w:rFonts w:ascii="Garamond" w:hAnsi="Garamond"/>
          <w:b/>
          <w:sz w:val="24"/>
          <w:szCs w:val="24"/>
        </w:rPr>
        <w:t>Decision Team Staffing?</w:t>
      </w:r>
    </w:p>
    <w:p w:rsidR="0094720C" w:rsidRDefault="0094720C" w:rsidP="00A27CF1">
      <w:pPr>
        <w:pStyle w:val="ListParagraph"/>
        <w:spacing w:after="200"/>
        <w:ind w:left="0"/>
        <w:contextualSpacing/>
        <w:jc w:val="both"/>
        <w:rPr>
          <w:rFonts w:ascii="Garamond" w:hAnsi="Garamond"/>
          <w:sz w:val="24"/>
          <w:szCs w:val="24"/>
        </w:rPr>
      </w:pPr>
      <w:r>
        <w:rPr>
          <w:rFonts w:ascii="Garamond" w:hAnsi="Garamond"/>
          <w:sz w:val="24"/>
          <w:szCs w:val="24"/>
        </w:rPr>
        <w:t>Not all investigations result in the need for a DTS. The CPI requests a DTS only for cases in which they are seeking either In-home Supervision or potential Legal Action. Occasionally, based on the information shared, the team may recommend an alternative case direction, such as diversion services for the family (See below for more detailed explanation).</w:t>
      </w:r>
    </w:p>
    <w:p w:rsidR="0094720C" w:rsidRPr="0094720C" w:rsidRDefault="0094720C" w:rsidP="00A27CF1">
      <w:pPr>
        <w:pStyle w:val="ListParagraph"/>
        <w:spacing w:after="200"/>
        <w:ind w:left="0"/>
        <w:contextualSpacing/>
        <w:jc w:val="both"/>
        <w:rPr>
          <w:rFonts w:ascii="Garamond" w:hAnsi="Garamond"/>
          <w:sz w:val="24"/>
          <w:szCs w:val="24"/>
        </w:rPr>
      </w:pPr>
    </w:p>
    <w:p w:rsidR="00D56513" w:rsidRPr="00C17A65" w:rsidRDefault="00D56513" w:rsidP="009672A9">
      <w:pPr>
        <w:pStyle w:val="ListParagraph"/>
        <w:spacing w:after="200"/>
        <w:ind w:left="180"/>
        <w:contextualSpacing/>
        <w:jc w:val="both"/>
        <w:rPr>
          <w:rFonts w:ascii="Garamond" w:hAnsi="Garamond"/>
          <w:sz w:val="23"/>
          <w:szCs w:val="23"/>
        </w:rPr>
      </w:pPr>
      <w:r w:rsidRPr="00C17A65">
        <w:rPr>
          <w:rFonts w:ascii="Garamond" w:hAnsi="Garamond"/>
          <w:b/>
          <w:i/>
          <w:sz w:val="23"/>
          <w:szCs w:val="23"/>
          <w:u w:val="single"/>
        </w:rPr>
        <w:t>In-home Supervision</w:t>
      </w:r>
      <w:r w:rsidRPr="00C17A65">
        <w:rPr>
          <w:rFonts w:ascii="Garamond" w:hAnsi="Garamond"/>
          <w:b/>
          <w:sz w:val="23"/>
          <w:szCs w:val="23"/>
        </w:rPr>
        <w:t xml:space="preserve"> </w:t>
      </w:r>
      <w:r w:rsidR="008C5265" w:rsidRPr="00C17A65">
        <w:rPr>
          <w:rFonts w:ascii="Garamond" w:hAnsi="Garamond"/>
          <w:sz w:val="23"/>
          <w:szCs w:val="23"/>
        </w:rPr>
        <w:t xml:space="preserve">not only offers </w:t>
      </w:r>
      <w:r w:rsidRPr="00C17A65">
        <w:rPr>
          <w:rFonts w:ascii="Garamond" w:hAnsi="Garamond"/>
          <w:sz w:val="23"/>
          <w:szCs w:val="23"/>
        </w:rPr>
        <w:t>a</w:t>
      </w:r>
      <w:r w:rsidR="008C5265" w:rsidRPr="00C17A65">
        <w:rPr>
          <w:rFonts w:ascii="Garamond" w:hAnsi="Garamond"/>
          <w:sz w:val="23"/>
          <w:szCs w:val="23"/>
        </w:rPr>
        <w:t>t-risk</w:t>
      </w:r>
      <w:r w:rsidRPr="00C17A65">
        <w:rPr>
          <w:rFonts w:ascii="Garamond" w:hAnsi="Garamond"/>
          <w:sz w:val="23"/>
          <w:szCs w:val="23"/>
        </w:rPr>
        <w:t xml:space="preserve"> famil</w:t>
      </w:r>
      <w:r w:rsidR="008C5265" w:rsidRPr="00C17A65">
        <w:rPr>
          <w:rFonts w:ascii="Garamond" w:hAnsi="Garamond"/>
          <w:sz w:val="23"/>
          <w:szCs w:val="23"/>
        </w:rPr>
        <w:t>ies</w:t>
      </w:r>
      <w:r w:rsidRPr="00C17A65">
        <w:rPr>
          <w:rFonts w:ascii="Garamond" w:hAnsi="Garamond"/>
          <w:sz w:val="23"/>
          <w:szCs w:val="23"/>
        </w:rPr>
        <w:t xml:space="preserve"> needed services to improve the current family situation, but also</w:t>
      </w:r>
      <w:r w:rsidRPr="00C17A65">
        <w:rPr>
          <w:rFonts w:ascii="Garamond" w:hAnsi="Garamond"/>
          <w:b/>
          <w:sz w:val="23"/>
          <w:szCs w:val="23"/>
        </w:rPr>
        <w:t xml:space="preserve"> </w:t>
      </w:r>
      <w:r w:rsidR="008C5265" w:rsidRPr="00C17A65">
        <w:rPr>
          <w:rFonts w:ascii="Garamond" w:hAnsi="Garamond"/>
          <w:sz w:val="23"/>
          <w:szCs w:val="23"/>
        </w:rPr>
        <w:t>provides</w:t>
      </w:r>
      <w:r w:rsidR="008C5265" w:rsidRPr="00C17A65">
        <w:rPr>
          <w:rFonts w:ascii="Garamond" w:hAnsi="Garamond"/>
          <w:b/>
          <w:sz w:val="23"/>
          <w:szCs w:val="23"/>
        </w:rPr>
        <w:t xml:space="preserve"> </w:t>
      </w:r>
      <w:r w:rsidRPr="00C17A65">
        <w:rPr>
          <w:rFonts w:ascii="Garamond" w:hAnsi="Garamond"/>
          <w:sz w:val="23"/>
          <w:szCs w:val="23"/>
        </w:rPr>
        <w:t>on-going case-management services through the local Case Management Agency</w:t>
      </w:r>
      <w:r w:rsidR="008C5265" w:rsidRPr="00C17A65">
        <w:rPr>
          <w:rFonts w:ascii="Garamond" w:hAnsi="Garamond"/>
          <w:sz w:val="23"/>
          <w:szCs w:val="23"/>
        </w:rPr>
        <w:t xml:space="preserve"> (CMA); on average these cases remain open for 3-6 months.</w:t>
      </w:r>
      <w:r w:rsidRPr="00C17A65">
        <w:rPr>
          <w:rFonts w:ascii="Garamond" w:hAnsi="Garamond"/>
          <w:sz w:val="23"/>
          <w:szCs w:val="23"/>
        </w:rPr>
        <w:t xml:space="preserve">  This is a voluntary agreement with the family </w:t>
      </w:r>
      <w:r w:rsidR="00E45BBF">
        <w:rPr>
          <w:rFonts w:ascii="Garamond" w:hAnsi="Garamond"/>
          <w:sz w:val="23"/>
          <w:szCs w:val="23"/>
        </w:rPr>
        <w:t>and does not involve the c</w:t>
      </w:r>
      <w:r w:rsidR="009515F3" w:rsidRPr="00C17A65">
        <w:rPr>
          <w:rFonts w:ascii="Garamond" w:hAnsi="Garamond"/>
          <w:sz w:val="23"/>
          <w:szCs w:val="23"/>
        </w:rPr>
        <w:t>ourt s</w:t>
      </w:r>
      <w:r w:rsidRPr="00C17A65">
        <w:rPr>
          <w:rFonts w:ascii="Garamond" w:hAnsi="Garamond"/>
          <w:sz w:val="23"/>
          <w:szCs w:val="23"/>
        </w:rPr>
        <w:t>ystem</w:t>
      </w:r>
      <w:r w:rsidR="008C5265" w:rsidRPr="00C17A65">
        <w:rPr>
          <w:rFonts w:ascii="Garamond" w:hAnsi="Garamond"/>
          <w:sz w:val="23"/>
          <w:szCs w:val="23"/>
        </w:rPr>
        <w:t xml:space="preserve">, so unless additional or continued risk is identified, the family </w:t>
      </w:r>
      <w:r w:rsidR="00F55747" w:rsidRPr="00C17A65">
        <w:rPr>
          <w:rFonts w:ascii="Garamond" w:hAnsi="Garamond"/>
          <w:sz w:val="23"/>
          <w:szCs w:val="23"/>
        </w:rPr>
        <w:t>may</w:t>
      </w:r>
      <w:r w:rsidR="008C5265" w:rsidRPr="00C17A65">
        <w:rPr>
          <w:rFonts w:ascii="Garamond" w:hAnsi="Garamond"/>
          <w:sz w:val="23"/>
          <w:szCs w:val="23"/>
        </w:rPr>
        <w:t xml:space="preserve"> decline the services at any time without further action being taken.</w:t>
      </w:r>
      <w:r w:rsidR="00E45BBF">
        <w:rPr>
          <w:rFonts w:ascii="Garamond" w:hAnsi="Garamond"/>
          <w:sz w:val="23"/>
          <w:szCs w:val="23"/>
        </w:rPr>
        <w:t xml:space="preserve">  </w:t>
      </w:r>
    </w:p>
    <w:p w:rsidR="008C5265" w:rsidRPr="00C17A65" w:rsidRDefault="008C5265" w:rsidP="009672A9">
      <w:pPr>
        <w:pStyle w:val="ListParagraph"/>
        <w:spacing w:after="200"/>
        <w:ind w:left="180"/>
        <w:contextualSpacing/>
        <w:jc w:val="both"/>
        <w:rPr>
          <w:rFonts w:ascii="Garamond" w:hAnsi="Garamond"/>
          <w:sz w:val="23"/>
          <w:szCs w:val="23"/>
        </w:rPr>
      </w:pPr>
    </w:p>
    <w:p w:rsidR="00D56513" w:rsidRPr="00C17A65" w:rsidRDefault="00D56513" w:rsidP="009672A9">
      <w:pPr>
        <w:pStyle w:val="ListParagraph"/>
        <w:spacing w:after="200"/>
        <w:ind w:left="180"/>
        <w:contextualSpacing/>
        <w:jc w:val="both"/>
        <w:rPr>
          <w:rFonts w:ascii="Garamond" w:hAnsi="Garamond"/>
          <w:sz w:val="23"/>
          <w:szCs w:val="23"/>
        </w:rPr>
      </w:pPr>
      <w:r w:rsidRPr="00C17A65">
        <w:rPr>
          <w:rFonts w:ascii="Garamond" w:hAnsi="Garamond"/>
          <w:b/>
          <w:i/>
          <w:sz w:val="23"/>
          <w:szCs w:val="23"/>
          <w:u w:val="single"/>
        </w:rPr>
        <w:t>Legal Action</w:t>
      </w:r>
      <w:r w:rsidRPr="00C17A65">
        <w:rPr>
          <w:rFonts w:ascii="Garamond" w:hAnsi="Garamond"/>
          <w:b/>
          <w:i/>
          <w:sz w:val="23"/>
          <w:szCs w:val="23"/>
        </w:rPr>
        <w:t xml:space="preserve"> </w:t>
      </w:r>
      <w:r w:rsidR="004D6FC5" w:rsidRPr="00C17A65">
        <w:rPr>
          <w:rFonts w:ascii="Garamond" w:hAnsi="Garamond"/>
          <w:sz w:val="23"/>
          <w:szCs w:val="23"/>
        </w:rPr>
        <w:t>may be necessary if there is a high level of risk to the child(</w:t>
      </w:r>
      <w:proofErr w:type="spellStart"/>
      <w:r w:rsidR="004D6FC5" w:rsidRPr="00C17A65">
        <w:rPr>
          <w:rFonts w:ascii="Garamond" w:hAnsi="Garamond"/>
          <w:sz w:val="23"/>
          <w:szCs w:val="23"/>
        </w:rPr>
        <w:t>ren</w:t>
      </w:r>
      <w:proofErr w:type="spellEnd"/>
      <w:r w:rsidR="004D6FC5" w:rsidRPr="00C17A65">
        <w:rPr>
          <w:rFonts w:ascii="Garamond" w:hAnsi="Garamond"/>
          <w:sz w:val="23"/>
          <w:szCs w:val="23"/>
        </w:rPr>
        <w:t>), as a result of the current allegations and/or family history of abuse, that cannot be sufficiently mitigated through service provision</w:t>
      </w:r>
      <w:r w:rsidR="009515F3" w:rsidRPr="00C17A65">
        <w:rPr>
          <w:rFonts w:ascii="Garamond" w:hAnsi="Garamond"/>
          <w:sz w:val="23"/>
          <w:szCs w:val="23"/>
        </w:rPr>
        <w:t xml:space="preserve"> and/or family supports</w:t>
      </w:r>
      <w:r w:rsidR="004D6FC5" w:rsidRPr="00C17A65">
        <w:rPr>
          <w:rFonts w:ascii="Garamond" w:hAnsi="Garamond"/>
          <w:sz w:val="23"/>
          <w:szCs w:val="23"/>
        </w:rPr>
        <w:t>. Legal action may include shelter from one or both parents</w:t>
      </w:r>
      <w:r w:rsidR="00E675BF" w:rsidRPr="00C17A65">
        <w:rPr>
          <w:rFonts w:ascii="Garamond" w:hAnsi="Garamond"/>
          <w:sz w:val="23"/>
          <w:szCs w:val="23"/>
        </w:rPr>
        <w:t xml:space="preserve"> and/or current caregiver(s)</w:t>
      </w:r>
      <w:r w:rsidR="004D6FC5" w:rsidRPr="00C17A65">
        <w:rPr>
          <w:rFonts w:ascii="Garamond" w:hAnsi="Garamond"/>
          <w:sz w:val="23"/>
          <w:szCs w:val="23"/>
        </w:rPr>
        <w:t xml:space="preserve"> or on less frequent occasions </w:t>
      </w:r>
      <w:r w:rsidR="00E675BF" w:rsidRPr="00C17A65">
        <w:rPr>
          <w:rFonts w:ascii="Garamond" w:hAnsi="Garamond"/>
          <w:sz w:val="23"/>
          <w:szCs w:val="23"/>
        </w:rPr>
        <w:t>continued placement of the children in the home with Court Ordered services in place.</w:t>
      </w:r>
      <w:r w:rsidR="004D6FC5" w:rsidRPr="00C17A65">
        <w:rPr>
          <w:rFonts w:ascii="Garamond" w:hAnsi="Garamond"/>
          <w:sz w:val="23"/>
          <w:szCs w:val="23"/>
        </w:rPr>
        <w:t xml:space="preserve"> </w:t>
      </w:r>
    </w:p>
    <w:p w:rsidR="00E675BF" w:rsidRPr="00C17A65" w:rsidRDefault="00D56513" w:rsidP="009672A9">
      <w:pPr>
        <w:widowControl w:val="0"/>
        <w:tabs>
          <w:tab w:val="left" w:pos="90"/>
          <w:tab w:val="left" w:pos="1980"/>
          <w:tab w:val="left" w:pos="2160"/>
        </w:tabs>
        <w:autoSpaceDE w:val="0"/>
        <w:autoSpaceDN w:val="0"/>
        <w:adjustRightInd w:val="0"/>
        <w:ind w:left="180"/>
        <w:jc w:val="both"/>
        <w:rPr>
          <w:rFonts w:ascii="Garamond" w:eastAsiaTheme="minorHAnsi" w:hAnsi="Garamond"/>
          <w:sz w:val="23"/>
          <w:szCs w:val="23"/>
        </w:rPr>
      </w:pPr>
      <w:r w:rsidRPr="00C17A65">
        <w:rPr>
          <w:rFonts w:ascii="Garamond" w:eastAsiaTheme="minorHAnsi" w:hAnsi="Garamond"/>
          <w:b/>
          <w:i/>
          <w:sz w:val="23"/>
          <w:szCs w:val="23"/>
          <w:u w:val="single"/>
        </w:rPr>
        <w:t>Diversion Services</w:t>
      </w:r>
      <w:r w:rsidRPr="00C17A65">
        <w:rPr>
          <w:rFonts w:ascii="Garamond" w:eastAsiaTheme="minorHAnsi" w:hAnsi="Garamond"/>
          <w:sz w:val="23"/>
          <w:szCs w:val="23"/>
        </w:rPr>
        <w:t xml:space="preserve"> are provided to at-risk families on a voluntary basis, but do not involve any form of on-going case management services through the CMA. There are a number of diversion services that may </w:t>
      </w:r>
      <w:r w:rsidR="008C5265" w:rsidRPr="00C17A65">
        <w:rPr>
          <w:rFonts w:ascii="Garamond" w:eastAsiaTheme="minorHAnsi" w:hAnsi="Garamond"/>
          <w:sz w:val="23"/>
          <w:szCs w:val="23"/>
        </w:rPr>
        <w:t>be provided to families in need</w:t>
      </w:r>
      <w:r w:rsidRPr="00C17A65">
        <w:rPr>
          <w:rFonts w:ascii="Garamond" w:eastAsiaTheme="minorHAnsi" w:hAnsi="Garamond"/>
          <w:sz w:val="23"/>
          <w:szCs w:val="23"/>
        </w:rPr>
        <w:t xml:space="preserve"> including</w:t>
      </w:r>
      <w:r w:rsidR="008C5265" w:rsidRPr="00C17A65">
        <w:rPr>
          <w:rFonts w:ascii="Garamond" w:eastAsiaTheme="minorHAnsi" w:hAnsi="Garamond"/>
          <w:sz w:val="23"/>
          <w:szCs w:val="23"/>
        </w:rPr>
        <w:t>,</w:t>
      </w:r>
      <w:r w:rsidRPr="00C17A65">
        <w:rPr>
          <w:rFonts w:ascii="Garamond" w:eastAsiaTheme="minorHAnsi" w:hAnsi="Garamond"/>
          <w:sz w:val="23"/>
          <w:szCs w:val="23"/>
        </w:rPr>
        <w:t xml:space="preserve"> but not limited to: mental health assessments, individual counseling, in-home paraprofessional and/or clinical services, parenting classes, substance abuse assessments and domestic violence counseling</w:t>
      </w:r>
      <w:r w:rsidR="008C5265" w:rsidRPr="00C17A65">
        <w:rPr>
          <w:rFonts w:ascii="Garamond" w:eastAsiaTheme="minorHAnsi" w:hAnsi="Garamond"/>
          <w:sz w:val="23"/>
          <w:szCs w:val="23"/>
        </w:rPr>
        <w:t xml:space="preserve">/support groups. </w:t>
      </w:r>
    </w:p>
    <w:p w:rsidR="00D56513" w:rsidRPr="00C17A65" w:rsidRDefault="00D56513" w:rsidP="009672A9">
      <w:pPr>
        <w:widowControl w:val="0"/>
        <w:tabs>
          <w:tab w:val="left" w:pos="90"/>
          <w:tab w:val="left" w:pos="1980"/>
          <w:tab w:val="left" w:pos="2160"/>
        </w:tabs>
        <w:autoSpaceDE w:val="0"/>
        <w:autoSpaceDN w:val="0"/>
        <w:adjustRightInd w:val="0"/>
        <w:ind w:left="180"/>
        <w:jc w:val="both"/>
        <w:rPr>
          <w:rFonts w:ascii="Garamond" w:eastAsiaTheme="minorHAnsi" w:hAnsi="Garamond"/>
          <w:sz w:val="23"/>
          <w:szCs w:val="23"/>
        </w:rPr>
      </w:pPr>
      <w:r w:rsidRPr="00C17A65">
        <w:rPr>
          <w:rFonts w:ascii="Garamond" w:eastAsiaTheme="minorHAnsi" w:hAnsi="Garamond"/>
          <w:b/>
          <w:sz w:val="23"/>
          <w:szCs w:val="23"/>
        </w:rPr>
        <w:t>Please note:</w:t>
      </w:r>
      <w:r w:rsidRPr="00C17A65">
        <w:rPr>
          <w:rFonts w:ascii="Garamond" w:eastAsiaTheme="minorHAnsi" w:hAnsi="Garamond"/>
          <w:sz w:val="23"/>
          <w:szCs w:val="23"/>
        </w:rPr>
        <w:t xml:space="preserve"> if a case is clearly appropriate for Diversion Services, it will not be staffed by the DTC.</w:t>
      </w:r>
    </w:p>
    <w:p w:rsidR="00D56513" w:rsidRPr="00C17A65" w:rsidRDefault="00D56513" w:rsidP="00D56513">
      <w:pPr>
        <w:widowControl w:val="0"/>
        <w:tabs>
          <w:tab w:val="left" w:pos="90"/>
          <w:tab w:val="left" w:pos="1980"/>
          <w:tab w:val="left" w:pos="2160"/>
        </w:tabs>
        <w:autoSpaceDE w:val="0"/>
        <w:autoSpaceDN w:val="0"/>
        <w:adjustRightInd w:val="0"/>
        <w:jc w:val="both"/>
        <w:rPr>
          <w:rFonts w:ascii="Garamond" w:eastAsiaTheme="minorHAnsi" w:hAnsi="Garamond"/>
          <w:sz w:val="23"/>
          <w:szCs w:val="23"/>
        </w:rPr>
      </w:pPr>
    </w:p>
    <w:p w:rsidR="00A27CF1" w:rsidRDefault="008F3A38" w:rsidP="008F3A38">
      <w:pPr>
        <w:pStyle w:val="ListParagraph"/>
        <w:spacing w:after="200"/>
        <w:ind w:left="0"/>
        <w:contextualSpacing/>
        <w:jc w:val="both"/>
        <w:rPr>
          <w:rFonts w:ascii="Garamond" w:hAnsi="Garamond"/>
          <w:b/>
          <w:sz w:val="24"/>
          <w:szCs w:val="24"/>
        </w:rPr>
      </w:pPr>
      <w:r>
        <w:rPr>
          <w:rFonts w:ascii="Garamond" w:hAnsi="Garamond"/>
          <w:b/>
          <w:sz w:val="24"/>
          <w:szCs w:val="24"/>
        </w:rPr>
        <w:t xml:space="preserve">Can </w:t>
      </w:r>
      <w:r w:rsidR="00EE60F4">
        <w:rPr>
          <w:rFonts w:ascii="Garamond" w:hAnsi="Garamond"/>
          <w:b/>
          <w:sz w:val="24"/>
          <w:szCs w:val="24"/>
        </w:rPr>
        <w:t>members of an outside agency</w:t>
      </w:r>
      <w:r w:rsidR="00E675BF">
        <w:rPr>
          <w:rFonts w:ascii="Garamond" w:hAnsi="Garamond"/>
          <w:b/>
          <w:sz w:val="24"/>
          <w:szCs w:val="24"/>
        </w:rPr>
        <w:t xml:space="preserve"> request a</w:t>
      </w:r>
      <w:r>
        <w:rPr>
          <w:rFonts w:ascii="Garamond" w:hAnsi="Garamond"/>
          <w:b/>
          <w:sz w:val="24"/>
          <w:szCs w:val="24"/>
        </w:rPr>
        <w:t xml:space="preserve"> Decision Team Staffing?</w:t>
      </w:r>
    </w:p>
    <w:p w:rsidR="008F3A38" w:rsidRDefault="001F4E2B" w:rsidP="008F3A38">
      <w:pPr>
        <w:pStyle w:val="ListParagraph"/>
        <w:spacing w:after="200"/>
        <w:ind w:left="0"/>
        <w:contextualSpacing/>
        <w:jc w:val="both"/>
        <w:rPr>
          <w:rFonts w:ascii="Garamond" w:hAnsi="Garamond"/>
          <w:sz w:val="24"/>
          <w:szCs w:val="24"/>
        </w:rPr>
      </w:pPr>
      <w:r>
        <w:rPr>
          <w:rFonts w:ascii="Garamond" w:hAnsi="Garamond"/>
          <w:sz w:val="24"/>
          <w:szCs w:val="24"/>
        </w:rPr>
        <w:t>DTS</w:t>
      </w:r>
      <w:r w:rsidR="008F3A38">
        <w:rPr>
          <w:rFonts w:ascii="Garamond" w:hAnsi="Garamond"/>
          <w:sz w:val="24"/>
          <w:szCs w:val="24"/>
        </w:rPr>
        <w:t xml:space="preserve"> requests are made by DCF only. If </w:t>
      </w:r>
      <w:r w:rsidR="00E675BF">
        <w:rPr>
          <w:rFonts w:ascii="Garamond" w:hAnsi="Garamond"/>
          <w:sz w:val="24"/>
          <w:szCs w:val="24"/>
        </w:rPr>
        <w:t>you, as a provider or another agency familiar with the family, have concerns and would like to staff a case you should directly contact the CPI or FCC assigned to the family to schedule a time to discuss your concerns.</w:t>
      </w:r>
    </w:p>
    <w:p w:rsidR="00A27CF1" w:rsidRDefault="00840A70" w:rsidP="00525408">
      <w:pPr>
        <w:jc w:val="both"/>
        <w:rPr>
          <w:rFonts w:ascii="Garamond" w:hAnsi="Garamond"/>
          <w:b/>
          <w:bCs/>
        </w:rPr>
      </w:pPr>
      <w:r w:rsidRPr="00E67986">
        <w:rPr>
          <w:rFonts w:ascii="Garamond" w:hAnsi="Garamond"/>
          <w:b/>
          <w:bCs/>
        </w:rPr>
        <w:t xml:space="preserve">Who </w:t>
      </w:r>
      <w:r w:rsidR="00F55747">
        <w:rPr>
          <w:rFonts w:ascii="Garamond" w:hAnsi="Garamond"/>
          <w:b/>
          <w:bCs/>
        </w:rPr>
        <w:t>is</w:t>
      </w:r>
      <w:r w:rsidRPr="00E67986">
        <w:rPr>
          <w:rFonts w:ascii="Garamond" w:hAnsi="Garamond"/>
          <w:b/>
          <w:bCs/>
        </w:rPr>
        <w:t xml:space="preserve"> invited to a Decision Team Staffing? </w:t>
      </w:r>
    </w:p>
    <w:p w:rsidR="00840A70" w:rsidRPr="005D5822" w:rsidRDefault="00840A70" w:rsidP="00525408">
      <w:pPr>
        <w:jc w:val="both"/>
        <w:rPr>
          <w:rFonts w:ascii="Garamond" w:hAnsi="Garamond"/>
        </w:rPr>
      </w:pPr>
      <w:r w:rsidRPr="005D5822">
        <w:rPr>
          <w:rFonts w:ascii="Garamond" w:hAnsi="Garamond"/>
          <w:bCs/>
        </w:rPr>
        <w:t>This list is not exhaustive; others can be invited if determined as appropriate.</w:t>
      </w:r>
      <w:r>
        <w:rPr>
          <w:rFonts w:ascii="Garamond" w:hAnsi="Garamond"/>
          <w:bCs/>
        </w:rPr>
        <w:t xml:space="preserve"> The CPI should inform the DTC, prior to the staffing, if they have particular individuals (e.g., current provider, guidance counselor) that they want to ensure be invited. </w:t>
      </w:r>
    </w:p>
    <w:p w:rsidR="00840A70" w:rsidRDefault="00840A70" w:rsidP="00525408">
      <w:pPr>
        <w:jc w:val="both"/>
        <w:rPr>
          <w:rFonts w:ascii="Garamond" w:hAnsi="Garamond"/>
        </w:rPr>
      </w:pPr>
    </w:p>
    <w:p w:rsidR="00840A70" w:rsidRPr="00E67986" w:rsidRDefault="00840A70" w:rsidP="00525408">
      <w:pPr>
        <w:jc w:val="both"/>
        <w:rPr>
          <w:rFonts w:ascii="Garamond" w:hAnsi="Garamond"/>
        </w:rPr>
        <w:sectPr w:rsidR="00840A70" w:rsidRPr="00E67986" w:rsidSect="000C62AE">
          <w:headerReference w:type="default" r:id="rId7"/>
          <w:footerReference w:type="default" r:id="rId8"/>
          <w:pgSz w:w="12240" w:h="15840"/>
          <w:pgMar w:top="720" w:right="1260" w:bottom="720" w:left="1440" w:header="720" w:footer="720" w:gutter="0"/>
          <w:cols w:space="720"/>
          <w:docGrid w:linePitch="360"/>
        </w:sectPr>
      </w:pPr>
    </w:p>
    <w:p w:rsidR="00840A70" w:rsidRPr="00840A70" w:rsidRDefault="009515F3" w:rsidP="00525408">
      <w:pPr>
        <w:pStyle w:val="ListParagraph"/>
        <w:numPr>
          <w:ilvl w:val="0"/>
          <w:numId w:val="24"/>
        </w:numPr>
        <w:jc w:val="both"/>
        <w:rPr>
          <w:rFonts w:ascii="Garamond" w:hAnsi="Garamond"/>
        </w:rPr>
      </w:pPr>
      <w:r>
        <w:rPr>
          <w:rFonts w:ascii="Garamond" w:hAnsi="Garamond"/>
        </w:rPr>
        <w:lastRenderedPageBreak/>
        <w:t>DCF Investigations</w:t>
      </w:r>
    </w:p>
    <w:p w:rsidR="00840A70" w:rsidRPr="00840A70" w:rsidRDefault="00525408" w:rsidP="00525408">
      <w:pPr>
        <w:pStyle w:val="ListParagraph"/>
        <w:numPr>
          <w:ilvl w:val="0"/>
          <w:numId w:val="24"/>
        </w:numPr>
        <w:jc w:val="both"/>
        <w:rPr>
          <w:rFonts w:ascii="Garamond" w:hAnsi="Garamond"/>
        </w:rPr>
      </w:pPr>
      <w:r>
        <w:rPr>
          <w:rFonts w:ascii="Garamond" w:hAnsi="Garamond"/>
        </w:rPr>
        <w:t>CMA Representative</w:t>
      </w:r>
    </w:p>
    <w:p w:rsidR="00840A70" w:rsidRPr="00840A70" w:rsidRDefault="009515F3" w:rsidP="00525408">
      <w:pPr>
        <w:pStyle w:val="ListParagraph"/>
        <w:numPr>
          <w:ilvl w:val="0"/>
          <w:numId w:val="24"/>
        </w:numPr>
        <w:jc w:val="both"/>
        <w:rPr>
          <w:rFonts w:ascii="Garamond" w:hAnsi="Garamond"/>
        </w:rPr>
      </w:pPr>
      <w:r>
        <w:rPr>
          <w:rFonts w:ascii="Garamond" w:hAnsi="Garamond"/>
        </w:rPr>
        <w:t>Children’s Legal Services</w:t>
      </w:r>
    </w:p>
    <w:p w:rsidR="00840A70" w:rsidRPr="00840A70" w:rsidRDefault="00840A70" w:rsidP="00525408">
      <w:pPr>
        <w:pStyle w:val="ListParagraph"/>
        <w:numPr>
          <w:ilvl w:val="0"/>
          <w:numId w:val="24"/>
        </w:numPr>
        <w:ind w:right="-450"/>
        <w:jc w:val="both"/>
        <w:rPr>
          <w:rFonts w:ascii="Garamond" w:hAnsi="Garamond"/>
        </w:rPr>
      </w:pPr>
      <w:r w:rsidRPr="00840A70">
        <w:rPr>
          <w:rFonts w:ascii="Garamond" w:hAnsi="Garamond"/>
        </w:rPr>
        <w:t xml:space="preserve">Local Law Enforcement    </w:t>
      </w:r>
    </w:p>
    <w:p w:rsidR="00840A70" w:rsidRDefault="00840A70" w:rsidP="00525408">
      <w:pPr>
        <w:pStyle w:val="ListParagraph"/>
        <w:numPr>
          <w:ilvl w:val="0"/>
          <w:numId w:val="24"/>
        </w:numPr>
        <w:jc w:val="both"/>
        <w:rPr>
          <w:rFonts w:ascii="Garamond" w:hAnsi="Garamond"/>
        </w:rPr>
      </w:pPr>
      <w:r w:rsidRPr="00840A70">
        <w:rPr>
          <w:rFonts w:ascii="Garamond" w:hAnsi="Garamond"/>
        </w:rPr>
        <w:t>FIS (Meridian/Substance Abuse)</w:t>
      </w:r>
    </w:p>
    <w:p w:rsidR="00840A70" w:rsidRPr="00840A70" w:rsidRDefault="007C5860" w:rsidP="00525408">
      <w:pPr>
        <w:pStyle w:val="ListParagraph"/>
        <w:numPr>
          <w:ilvl w:val="0"/>
          <w:numId w:val="24"/>
        </w:numPr>
        <w:jc w:val="both"/>
        <w:rPr>
          <w:rFonts w:ascii="Garamond" w:hAnsi="Garamond"/>
        </w:rPr>
      </w:pPr>
      <w:r>
        <w:rPr>
          <w:rFonts w:ascii="Garamond" w:hAnsi="Garamond"/>
        </w:rPr>
        <w:lastRenderedPageBreak/>
        <w:t>DV Advocates</w:t>
      </w:r>
      <w:r w:rsidR="00840A70" w:rsidRPr="00840A70">
        <w:rPr>
          <w:rFonts w:ascii="Garamond" w:hAnsi="Garamond"/>
        </w:rPr>
        <w:t xml:space="preserve"> </w:t>
      </w:r>
    </w:p>
    <w:p w:rsidR="00840A70" w:rsidRPr="00840A70" w:rsidRDefault="009515F3" w:rsidP="00525408">
      <w:pPr>
        <w:pStyle w:val="ListParagraph"/>
        <w:numPr>
          <w:ilvl w:val="0"/>
          <w:numId w:val="24"/>
        </w:numPr>
        <w:jc w:val="both"/>
        <w:rPr>
          <w:rFonts w:ascii="Garamond" w:hAnsi="Garamond"/>
        </w:rPr>
      </w:pPr>
      <w:r>
        <w:rPr>
          <w:rFonts w:ascii="Garamond" w:hAnsi="Garamond"/>
        </w:rPr>
        <w:t>Family Team Conference</w:t>
      </w:r>
      <w:r w:rsidR="00840A70" w:rsidRPr="00840A70">
        <w:rPr>
          <w:rFonts w:ascii="Garamond" w:hAnsi="Garamond"/>
        </w:rPr>
        <w:t xml:space="preserve"> Coordinators </w:t>
      </w:r>
    </w:p>
    <w:p w:rsidR="00840A70" w:rsidRPr="00840A70" w:rsidRDefault="00840A70" w:rsidP="00525408">
      <w:pPr>
        <w:pStyle w:val="ListParagraph"/>
        <w:numPr>
          <w:ilvl w:val="0"/>
          <w:numId w:val="24"/>
        </w:numPr>
        <w:jc w:val="both"/>
        <w:rPr>
          <w:rFonts w:ascii="Garamond" w:hAnsi="Garamond"/>
        </w:rPr>
      </w:pPr>
      <w:r w:rsidRPr="00840A70">
        <w:rPr>
          <w:rFonts w:ascii="Garamond" w:hAnsi="Garamond"/>
        </w:rPr>
        <w:t xml:space="preserve">CPT </w:t>
      </w:r>
      <w:r w:rsidR="007C5860">
        <w:rPr>
          <w:rFonts w:ascii="Garamond" w:hAnsi="Garamond"/>
        </w:rPr>
        <w:t>and/</w:t>
      </w:r>
      <w:r w:rsidRPr="00840A70">
        <w:rPr>
          <w:rFonts w:ascii="Garamond" w:hAnsi="Garamond"/>
        </w:rPr>
        <w:t>or</w:t>
      </w:r>
      <w:r w:rsidR="007C5860">
        <w:rPr>
          <w:rFonts w:ascii="Garamond" w:hAnsi="Garamond"/>
        </w:rPr>
        <w:t xml:space="preserve"> CAC</w:t>
      </w:r>
      <w:r w:rsidRPr="00840A70">
        <w:rPr>
          <w:rFonts w:ascii="Garamond" w:hAnsi="Garamond"/>
        </w:rPr>
        <w:t xml:space="preserve"> Representative</w:t>
      </w:r>
    </w:p>
    <w:p w:rsidR="00840A70" w:rsidRPr="00840A70" w:rsidRDefault="00840A70" w:rsidP="00525408">
      <w:pPr>
        <w:pStyle w:val="ListParagraph"/>
        <w:numPr>
          <w:ilvl w:val="0"/>
          <w:numId w:val="24"/>
        </w:numPr>
        <w:jc w:val="both"/>
        <w:rPr>
          <w:rFonts w:ascii="Garamond" w:hAnsi="Garamond"/>
        </w:rPr>
      </w:pPr>
      <w:r w:rsidRPr="00840A70">
        <w:rPr>
          <w:rFonts w:ascii="Garamond" w:hAnsi="Garamond"/>
        </w:rPr>
        <w:t>School Personnel</w:t>
      </w:r>
    </w:p>
    <w:p w:rsidR="00840A70" w:rsidRPr="00840A70" w:rsidRDefault="00525408" w:rsidP="00525408">
      <w:pPr>
        <w:pStyle w:val="ListParagraph"/>
        <w:numPr>
          <w:ilvl w:val="0"/>
          <w:numId w:val="24"/>
        </w:numPr>
        <w:jc w:val="both"/>
        <w:rPr>
          <w:rFonts w:ascii="Garamond" w:hAnsi="Garamond"/>
        </w:rPr>
      </w:pPr>
      <w:r>
        <w:rPr>
          <w:rFonts w:ascii="Garamond" w:hAnsi="Garamond"/>
        </w:rPr>
        <w:t xml:space="preserve">Service </w:t>
      </w:r>
      <w:r w:rsidR="00840A70" w:rsidRPr="00840A70">
        <w:rPr>
          <w:rFonts w:ascii="Garamond" w:hAnsi="Garamond"/>
        </w:rPr>
        <w:t>Providers</w:t>
      </w:r>
    </w:p>
    <w:p w:rsidR="00840A70" w:rsidRPr="00E67986" w:rsidRDefault="00840A70" w:rsidP="00525408">
      <w:pPr>
        <w:jc w:val="both"/>
        <w:rPr>
          <w:rFonts w:ascii="Garamond" w:hAnsi="Garamond"/>
          <w:b/>
        </w:rPr>
        <w:sectPr w:rsidR="00840A70" w:rsidRPr="00E67986" w:rsidSect="000C62AE">
          <w:type w:val="continuous"/>
          <w:pgSz w:w="12240" w:h="15840"/>
          <w:pgMar w:top="720" w:right="450" w:bottom="720" w:left="1440" w:header="720" w:footer="720" w:gutter="0"/>
          <w:cols w:num="2" w:space="45"/>
          <w:docGrid w:linePitch="360"/>
        </w:sectPr>
      </w:pPr>
    </w:p>
    <w:p w:rsidR="00840A70" w:rsidRPr="00DC5D3C" w:rsidRDefault="00840A70" w:rsidP="00525408">
      <w:pPr>
        <w:jc w:val="both"/>
        <w:rPr>
          <w:rFonts w:ascii="Garamond" w:hAnsi="Garamond"/>
          <w:b/>
          <w:sz w:val="16"/>
          <w:szCs w:val="16"/>
        </w:rPr>
      </w:pPr>
    </w:p>
    <w:p w:rsidR="008F3A38" w:rsidRPr="002C1E04" w:rsidRDefault="008F3A38" w:rsidP="00525408">
      <w:pPr>
        <w:jc w:val="both"/>
        <w:rPr>
          <w:rFonts w:ascii="Garamond" w:hAnsi="Garamond"/>
          <w:b/>
        </w:rPr>
      </w:pPr>
      <w:r w:rsidRPr="002C1E04">
        <w:rPr>
          <w:rFonts w:ascii="Garamond" w:hAnsi="Garamond"/>
          <w:b/>
        </w:rPr>
        <w:t>What</w:t>
      </w:r>
      <w:r w:rsidR="000C62AE">
        <w:rPr>
          <w:rFonts w:ascii="Garamond" w:hAnsi="Garamond"/>
          <w:b/>
        </w:rPr>
        <w:t xml:space="preserve"> information should I expect to </w:t>
      </w:r>
      <w:r w:rsidR="00F55747">
        <w:rPr>
          <w:rFonts w:ascii="Garamond" w:hAnsi="Garamond"/>
          <w:b/>
        </w:rPr>
        <w:t xml:space="preserve">be </w:t>
      </w:r>
      <w:r w:rsidR="000C62AE">
        <w:rPr>
          <w:rFonts w:ascii="Garamond" w:hAnsi="Garamond"/>
          <w:b/>
        </w:rPr>
        <w:t>discuss</w:t>
      </w:r>
      <w:r w:rsidR="00F55747">
        <w:rPr>
          <w:rFonts w:ascii="Garamond" w:hAnsi="Garamond"/>
          <w:b/>
        </w:rPr>
        <w:t>ed</w:t>
      </w:r>
      <w:r w:rsidR="000C62AE">
        <w:rPr>
          <w:rFonts w:ascii="Garamond" w:hAnsi="Garamond"/>
          <w:b/>
        </w:rPr>
        <w:t xml:space="preserve"> during a </w:t>
      </w:r>
      <w:r w:rsidRPr="002C1E04">
        <w:rPr>
          <w:rFonts w:ascii="Garamond" w:hAnsi="Garamond"/>
          <w:b/>
        </w:rPr>
        <w:t>Decision Team Staffing?</w:t>
      </w:r>
    </w:p>
    <w:p w:rsidR="008F3A38" w:rsidRDefault="008F3A38" w:rsidP="00525408">
      <w:pPr>
        <w:jc w:val="both"/>
        <w:rPr>
          <w:rFonts w:ascii="Garamond" w:hAnsi="Garamond"/>
        </w:rPr>
      </w:pPr>
      <w:r w:rsidRPr="002C1E04">
        <w:rPr>
          <w:rFonts w:ascii="Garamond" w:hAnsi="Garamond"/>
        </w:rPr>
        <w:t xml:space="preserve">Prior to the staffing occurring, the DTC researches the family’s criminal, abuse </w:t>
      </w:r>
      <w:r w:rsidR="00E95D39">
        <w:rPr>
          <w:rFonts w:ascii="Garamond" w:hAnsi="Garamond"/>
        </w:rPr>
        <w:t xml:space="preserve">and service history, </w:t>
      </w:r>
      <w:r w:rsidR="00E95D39" w:rsidRPr="00ED5D56">
        <w:rPr>
          <w:rFonts w:ascii="Garamond" w:hAnsi="Garamond"/>
        </w:rPr>
        <w:t>as well as</w:t>
      </w:r>
      <w:r w:rsidRPr="00ED5D56">
        <w:rPr>
          <w:rFonts w:ascii="Garamond" w:hAnsi="Garamond"/>
        </w:rPr>
        <w:t xml:space="preserve"> current allegations</w:t>
      </w:r>
      <w:r w:rsidR="00E95D39" w:rsidRPr="00ED5D56">
        <w:rPr>
          <w:rFonts w:ascii="Garamond" w:hAnsi="Garamond"/>
        </w:rPr>
        <w:t xml:space="preserve">. They </w:t>
      </w:r>
      <w:r w:rsidR="00ED5D56">
        <w:rPr>
          <w:rFonts w:ascii="Garamond" w:hAnsi="Garamond"/>
        </w:rPr>
        <w:t xml:space="preserve">then </w:t>
      </w:r>
      <w:r w:rsidR="00E95D39" w:rsidRPr="00ED5D56">
        <w:rPr>
          <w:rFonts w:ascii="Garamond" w:hAnsi="Garamond"/>
        </w:rPr>
        <w:t>provide</w:t>
      </w:r>
      <w:r w:rsidRPr="00ED5D56">
        <w:rPr>
          <w:rFonts w:ascii="Garamond" w:hAnsi="Garamond"/>
        </w:rPr>
        <w:t xml:space="preserve"> this</w:t>
      </w:r>
      <w:r w:rsidRPr="002C1E04">
        <w:rPr>
          <w:rFonts w:ascii="Garamond" w:hAnsi="Garamond"/>
        </w:rPr>
        <w:t xml:space="preserve"> information to the team as part of the staffing process. </w:t>
      </w:r>
      <w:r w:rsidR="000C62AE">
        <w:rPr>
          <w:rFonts w:ascii="Garamond" w:hAnsi="Garamond"/>
        </w:rPr>
        <w:t>The</w:t>
      </w:r>
      <w:r w:rsidRPr="002C1E04">
        <w:rPr>
          <w:rFonts w:ascii="Garamond" w:hAnsi="Garamond"/>
        </w:rPr>
        <w:t xml:space="preserve"> team discussion will </w:t>
      </w:r>
      <w:r w:rsidR="000C62AE">
        <w:rPr>
          <w:rFonts w:ascii="Garamond" w:hAnsi="Garamond"/>
        </w:rPr>
        <w:t xml:space="preserve">also </w:t>
      </w:r>
      <w:r w:rsidRPr="002C1E04">
        <w:rPr>
          <w:rFonts w:ascii="Garamond" w:hAnsi="Garamond"/>
        </w:rPr>
        <w:t>include</w:t>
      </w:r>
      <w:r w:rsidR="000C62AE">
        <w:rPr>
          <w:rFonts w:ascii="Garamond" w:hAnsi="Garamond"/>
        </w:rPr>
        <w:t>,</w:t>
      </w:r>
      <w:r w:rsidRPr="002C1E04">
        <w:rPr>
          <w:rFonts w:ascii="Garamond" w:hAnsi="Garamond"/>
        </w:rPr>
        <w:t xml:space="preserve"> at a minimum: investigative information, exceptions to problem, family strengths</w:t>
      </w:r>
      <w:r w:rsidR="00E45BBF">
        <w:rPr>
          <w:rFonts w:ascii="Garamond" w:hAnsi="Garamond"/>
        </w:rPr>
        <w:t xml:space="preserve"> and protective factors</w:t>
      </w:r>
      <w:r w:rsidRPr="002C1E04">
        <w:rPr>
          <w:rFonts w:ascii="Garamond" w:hAnsi="Garamond"/>
        </w:rPr>
        <w:t xml:space="preserve">, family and individual level concerns, </w:t>
      </w:r>
      <w:proofErr w:type="gramStart"/>
      <w:r w:rsidRPr="002C1E04">
        <w:rPr>
          <w:rFonts w:ascii="Garamond" w:hAnsi="Garamond"/>
        </w:rPr>
        <w:t>immediate</w:t>
      </w:r>
      <w:proofErr w:type="gramEnd"/>
      <w:r w:rsidRPr="002C1E04">
        <w:rPr>
          <w:rFonts w:ascii="Garamond" w:hAnsi="Garamond"/>
        </w:rPr>
        <w:t xml:space="preserve"> case actions needed and service needs to be addressed</w:t>
      </w:r>
      <w:r w:rsidR="00E45BBF">
        <w:rPr>
          <w:rFonts w:ascii="Garamond" w:hAnsi="Garamond"/>
        </w:rPr>
        <w:t xml:space="preserve"> </w:t>
      </w:r>
      <w:r w:rsidR="000C62AE">
        <w:rPr>
          <w:rFonts w:ascii="Garamond" w:hAnsi="Garamond"/>
        </w:rPr>
        <w:t>with the family,</w:t>
      </w:r>
      <w:r w:rsidRPr="002C1E04">
        <w:rPr>
          <w:rFonts w:ascii="Garamond" w:hAnsi="Garamond"/>
        </w:rPr>
        <w:t xml:space="preserve"> at the F</w:t>
      </w:r>
      <w:r w:rsidR="000C62AE">
        <w:rPr>
          <w:rFonts w:ascii="Garamond" w:hAnsi="Garamond"/>
        </w:rPr>
        <w:t xml:space="preserve">amily </w:t>
      </w:r>
      <w:r w:rsidRPr="002C1E04">
        <w:rPr>
          <w:rFonts w:ascii="Garamond" w:hAnsi="Garamond"/>
        </w:rPr>
        <w:t>T</w:t>
      </w:r>
      <w:r w:rsidR="000C62AE">
        <w:rPr>
          <w:rFonts w:ascii="Garamond" w:hAnsi="Garamond"/>
        </w:rPr>
        <w:t xml:space="preserve">eam </w:t>
      </w:r>
      <w:r w:rsidRPr="002C1E04">
        <w:rPr>
          <w:rFonts w:ascii="Garamond" w:hAnsi="Garamond"/>
        </w:rPr>
        <w:t>C</w:t>
      </w:r>
      <w:r w:rsidR="000C62AE">
        <w:rPr>
          <w:rFonts w:ascii="Garamond" w:hAnsi="Garamond"/>
        </w:rPr>
        <w:t>onference</w:t>
      </w:r>
      <w:r w:rsidRPr="002C1E04">
        <w:rPr>
          <w:rFonts w:ascii="Garamond" w:hAnsi="Garamond"/>
        </w:rPr>
        <w:t xml:space="preserve">.  The DTC will also clearly identify the team’s decision as it relates to case direction. If a case will be receiving In-home Supervision, a tentative date for the early engagement visit will also be </w:t>
      </w:r>
      <w:r w:rsidR="000C62AE">
        <w:rPr>
          <w:rFonts w:ascii="Garamond" w:hAnsi="Garamond"/>
        </w:rPr>
        <w:t>scheduled.</w:t>
      </w:r>
    </w:p>
    <w:p w:rsidR="000C62AE" w:rsidRPr="00DC5D3C" w:rsidRDefault="000C62AE" w:rsidP="00525408">
      <w:pPr>
        <w:jc w:val="both"/>
        <w:rPr>
          <w:rFonts w:ascii="Garamond" w:hAnsi="Garamond"/>
          <w:sz w:val="16"/>
          <w:szCs w:val="16"/>
        </w:rPr>
      </w:pPr>
    </w:p>
    <w:p w:rsidR="000C62AE" w:rsidRPr="002C1E04" w:rsidRDefault="000C62AE" w:rsidP="00525408">
      <w:pPr>
        <w:jc w:val="both"/>
        <w:rPr>
          <w:rFonts w:ascii="Garamond" w:hAnsi="Garamond"/>
        </w:rPr>
      </w:pPr>
      <w:r>
        <w:rPr>
          <w:rFonts w:ascii="Garamond" w:hAnsi="Garamond"/>
        </w:rPr>
        <w:t xml:space="preserve">Every member of the team is encouraged to participate in the process and provide </w:t>
      </w:r>
      <w:r w:rsidRPr="009515F3">
        <w:rPr>
          <w:rFonts w:ascii="Garamond" w:hAnsi="Garamond"/>
          <w:u w:val="single"/>
        </w:rPr>
        <w:t>any</w:t>
      </w:r>
      <w:r>
        <w:rPr>
          <w:rFonts w:ascii="Garamond" w:hAnsi="Garamond"/>
        </w:rPr>
        <w:t xml:space="preserve"> information they feel would be beneficial to the decision making process. </w:t>
      </w:r>
    </w:p>
    <w:p w:rsidR="008F3A38" w:rsidRPr="00DC5D3C" w:rsidRDefault="008F3A38" w:rsidP="00525408">
      <w:pPr>
        <w:jc w:val="both"/>
        <w:rPr>
          <w:rFonts w:ascii="Garamond" w:hAnsi="Garamond"/>
          <w:b/>
          <w:sz w:val="16"/>
          <w:szCs w:val="16"/>
        </w:rPr>
      </w:pPr>
    </w:p>
    <w:p w:rsidR="00EE60F4" w:rsidRDefault="00EE60F4" w:rsidP="00525408">
      <w:pPr>
        <w:jc w:val="both"/>
        <w:rPr>
          <w:rFonts w:ascii="Garamond" w:hAnsi="Garamond"/>
          <w:b/>
        </w:rPr>
      </w:pPr>
      <w:r>
        <w:rPr>
          <w:rFonts w:ascii="Garamond" w:hAnsi="Garamond"/>
          <w:b/>
        </w:rPr>
        <w:t>What if I am unable to attend a Decision Team Staffing in person?</w:t>
      </w:r>
    </w:p>
    <w:p w:rsidR="00EE60F4" w:rsidRPr="00EE60F4" w:rsidRDefault="00EE60F4" w:rsidP="00525408">
      <w:pPr>
        <w:jc w:val="both"/>
        <w:rPr>
          <w:rFonts w:ascii="Garamond" w:hAnsi="Garamond"/>
        </w:rPr>
      </w:pPr>
      <w:r>
        <w:rPr>
          <w:rFonts w:ascii="Garamond" w:hAnsi="Garamond"/>
        </w:rPr>
        <w:t xml:space="preserve">A conference line is set up for all staffings so that individuals at other locations can easily participate.  </w:t>
      </w:r>
      <w:r w:rsidR="009515F3">
        <w:rPr>
          <w:rFonts w:ascii="Garamond" w:hAnsi="Garamond"/>
        </w:rPr>
        <w:t xml:space="preserve">This number is included in the email staffing invitation. </w:t>
      </w:r>
      <w:r>
        <w:rPr>
          <w:rFonts w:ascii="Garamond" w:hAnsi="Garamond"/>
        </w:rPr>
        <w:t xml:space="preserve">Additionally, information </w:t>
      </w:r>
      <w:r w:rsidR="00F55747">
        <w:rPr>
          <w:rFonts w:ascii="Garamond" w:hAnsi="Garamond"/>
        </w:rPr>
        <w:t>may be sent</w:t>
      </w:r>
      <w:r>
        <w:rPr>
          <w:rFonts w:ascii="Garamond" w:hAnsi="Garamond"/>
        </w:rPr>
        <w:t xml:space="preserve"> to the DTC</w:t>
      </w:r>
      <w:r w:rsidR="00F55747">
        <w:rPr>
          <w:rFonts w:ascii="Garamond" w:hAnsi="Garamond"/>
        </w:rPr>
        <w:t>, via email,</w:t>
      </w:r>
      <w:r>
        <w:rPr>
          <w:rFonts w:ascii="Garamond" w:hAnsi="Garamond"/>
        </w:rPr>
        <w:t xml:space="preserve"> prior to the staffing to be shared with the team</w:t>
      </w:r>
      <w:r w:rsidR="00F55747">
        <w:rPr>
          <w:rFonts w:ascii="Garamond" w:hAnsi="Garamond"/>
        </w:rPr>
        <w:t xml:space="preserve"> as part of the decision making process.</w:t>
      </w:r>
    </w:p>
    <w:p w:rsidR="00EE60F4" w:rsidRPr="00DC5D3C" w:rsidRDefault="00EE60F4" w:rsidP="00525408">
      <w:pPr>
        <w:jc w:val="both"/>
        <w:rPr>
          <w:rFonts w:ascii="Garamond" w:hAnsi="Garamond"/>
          <w:b/>
          <w:sz w:val="16"/>
          <w:szCs w:val="16"/>
        </w:rPr>
      </w:pPr>
    </w:p>
    <w:p w:rsidR="00F55747" w:rsidRDefault="00F55747" w:rsidP="00525408">
      <w:pPr>
        <w:jc w:val="both"/>
        <w:rPr>
          <w:rFonts w:ascii="Garamond" w:hAnsi="Garamond"/>
          <w:b/>
        </w:rPr>
      </w:pPr>
      <w:r>
        <w:rPr>
          <w:rFonts w:ascii="Garamond" w:hAnsi="Garamond"/>
          <w:b/>
        </w:rPr>
        <w:t xml:space="preserve">What happens after a Decision Team Staffing? </w:t>
      </w:r>
    </w:p>
    <w:p w:rsidR="00F55747" w:rsidRDefault="00A27CF1" w:rsidP="00525408">
      <w:pPr>
        <w:jc w:val="both"/>
        <w:rPr>
          <w:rFonts w:ascii="Garamond" w:hAnsi="Garamond"/>
        </w:rPr>
      </w:pPr>
      <w:r>
        <w:rPr>
          <w:rFonts w:ascii="Garamond" w:hAnsi="Garamond"/>
        </w:rPr>
        <w:t>The DTC compiles all of the information gathered</w:t>
      </w:r>
      <w:r w:rsidR="009515F3">
        <w:rPr>
          <w:rFonts w:ascii="Garamond" w:hAnsi="Garamond"/>
        </w:rPr>
        <w:t xml:space="preserve"> during the staffing</w:t>
      </w:r>
      <w:r>
        <w:rPr>
          <w:rFonts w:ascii="Garamond" w:hAnsi="Garamond"/>
        </w:rPr>
        <w:t xml:space="preserve"> onto the Decision Team Staffing Form and shares with investigations and case management staff to become a permanent part of the case file</w:t>
      </w:r>
      <w:r w:rsidR="009515F3">
        <w:rPr>
          <w:rFonts w:ascii="Garamond" w:hAnsi="Garamond"/>
        </w:rPr>
        <w:t>. The information is then used as part of an</w:t>
      </w:r>
      <w:r>
        <w:rPr>
          <w:rFonts w:ascii="Garamond" w:hAnsi="Garamond"/>
        </w:rPr>
        <w:t xml:space="preserve"> on-going assessment of the family’s needs. </w:t>
      </w:r>
      <w:r w:rsidR="009515F3">
        <w:rPr>
          <w:rFonts w:ascii="Garamond" w:hAnsi="Garamond"/>
        </w:rPr>
        <w:t>A copy of the DTS Form may also be provided as background documentation for service referrals and also to providers that may already be involved with the family. The form is not automatically sent to all staffing participan</w:t>
      </w:r>
      <w:r w:rsidR="002265F7">
        <w:rPr>
          <w:rFonts w:ascii="Garamond" w:hAnsi="Garamond"/>
        </w:rPr>
        <w:t>ts, but may be available upon request (rules of confidentiality apply).</w:t>
      </w:r>
      <w:r w:rsidR="009515F3">
        <w:rPr>
          <w:rFonts w:ascii="Garamond" w:hAnsi="Garamond"/>
        </w:rPr>
        <w:t xml:space="preserve"> </w:t>
      </w:r>
    </w:p>
    <w:p w:rsidR="00A27CF1" w:rsidRPr="00DC5D3C" w:rsidRDefault="00A27CF1" w:rsidP="008F3A38">
      <w:pPr>
        <w:rPr>
          <w:rFonts w:ascii="Garamond" w:hAnsi="Garamond"/>
          <w:sz w:val="16"/>
          <w:szCs w:val="16"/>
        </w:rPr>
      </w:pPr>
    </w:p>
    <w:p w:rsidR="008F3A38" w:rsidRDefault="008F3A38" w:rsidP="008F3A38">
      <w:pPr>
        <w:rPr>
          <w:rFonts w:ascii="Garamond" w:hAnsi="Garamond"/>
          <w:b/>
        </w:rPr>
      </w:pPr>
      <w:r w:rsidRPr="002C1E04">
        <w:rPr>
          <w:rFonts w:ascii="Garamond" w:hAnsi="Garamond"/>
          <w:b/>
        </w:rPr>
        <w:t>Contact Information:</w:t>
      </w:r>
    </w:p>
    <w:p w:rsidR="008F3A38" w:rsidRPr="00DC5D3C" w:rsidRDefault="008F3A38" w:rsidP="008F3A38">
      <w:pPr>
        <w:rPr>
          <w:rFonts w:ascii="Garamond" w:hAnsi="Garamond"/>
          <w:b/>
          <w:sz w:val="16"/>
          <w:szCs w:val="16"/>
        </w:rPr>
      </w:pPr>
    </w:p>
    <w:p w:rsidR="008F3A38" w:rsidRPr="00DC5D3C" w:rsidRDefault="008F3A38" w:rsidP="008F3A38">
      <w:pPr>
        <w:rPr>
          <w:rFonts w:ascii="Garamond" w:hAnsi="Garamond"/>
          <w:sz w:val="16"/>
          <w:szCs w:val="16"/>
        </w:rPr>
        <w:sectPr w:rsidR="008F3A38" w:rsidRPr="00DC5D3C" w:rsidSect="008F3A38">
          <w:headerReference w:type="default" r:id="rId9"/>
          <w:footerReference w:type="default" r:id="rId10"/>
          <w:type w:val="continuous"/>
          <w:pgSz w:w="12240" w:h="15840"/>
          <w:pgMar w:top="720" w:right="1440" w:bottom="720" w:left="1440" w:header="720" w:footer="720" w:gutter="0"/>
          <w:cols w:space="720"/>
          <w:docGrid w:linePitch="360"/>
        </w:sectPr>
      </w:pPr>
    </w:p>
    <w:p w:rsidR="008F3A38" w:rsidRPr="00073FEA" w:rsidRDefault="008F3A38" w:rsidP="008F3A38">
      <w:pPr>
        <w:rPr>
          <w:rFonts w:ascii="Garamond" w:hAnsi="Garamond"/>
          <w:sz w:val="22"/>
          <w:szCs w:val="22"/>
        </w:rPr>
      </w:pPr>
      <w:r w:rsidRPr="00073FEA">
        <w:rPr>
          <w:rFonts w:ascii="Garamond" w:hAnsi="Garamond"/>
          <w:sz w:val="22"/>
          <w:szCs w:val="22"/>
        </w:rPr>
        <w:lastRenderedPageBreak/>
        <w:t>Kelly Bennett</w:t>
      </w:r>
      <w:r w:rsidR="00073FEA">
        <w:rPr>
          <w:rFonts w:ascii="Garamond" w:hAnsi="Garamond"/>
          <w:sz w:val="22"/>
          <w:szCs w:val="22"/>
        </w:rPr>
        <w:t xml:space="preserve">, </w:t>
      </w:r>
      <w:proofErr w:type="spellStart"/>
      <w:r w:rsidR="00073FEA" w:rsidRPr="00073FEA">
        <w:rPr>
          <w:rFonts w:ascii="Garamond" w:hAnsi="Garamond"/>
          <w:sz w:val="22"/>
          <w:szCs w:val="22"/>
        </w:rPr>
        <w:t>Ed.S</w:t>
      </w:r>
      <w:proofErr w:type="spellEnd"/>
      <w:r w:rsidR="00073FEA" w:rsidRPr="00073FEA">
        <w:rPr>
          <w:rFonts w:ascii="Garamond" w:hAnsi="Garamond"/>
          <w:sz w:val="22"/>
          <w:szCs w:val="22"/>
        </w:rPr>
        <w:t>, NCC</w:t>
      </w:r>
    </w:p>
    <w:p w:rsidR="008F3A38" w:rsidRPr="00073FEA" w:rsidRDefault="00073FEA" w:rsidP="008F3A38">
      <w:pPr>
        <w:rPr>
          <w:rFonts w:ascii="Garamond" w:hAnsi="Garamond"/>
          <w:sz w:val="22"/>
          <w:szCs w:val="22"/>
        </w:rPr>
      </w:pPr>
      <w:r>
        <w:rPr>
          <w:rFonts w:ascii="Garamond" w:hAnsi="Garamond"/>
          <w:sz w:val="22"/>
          <w:szCs w:val="22"/>
        </w:rPr>
        <w:t>DTC</w:t>
      </w:r>
      <w:r w:rsidR="008F3A38" w:rsidRPr="00073FEA">
        <w:rPr>
          <w:rFonts w:ascii="Garamond" w:hAnsi="Garamond"/>
          <w:sz w:val="22"/>
          <w:szCs w:val="22"/>
        </w:rPr>
        <w:t xml:space="preserve">- Alachua </w:t>
      </w:r>
    </w:p>
    <w:p w:rsidR="008F3A38" w:rsidRPr="00073FEA" w:rsidRDefault="008F3A38" w:rsidP="008F3A38">
      <w:pPr>
        <w:rPr>
          <w:rFonts w:ascii="Garamond" w:hAnsi="Garamond"/>
          <w:sz w:val="22"/>
          <w:szCs w:val="22"/>
        </w:rPr>
      </w:pPr>
      <w:r w:rsidRPr="00073FEA">
        <w:rPr>
          <w:rFonts w:ascii="Garamond" w:hAnsi="Garamond"/>
          <w:sz w:val="22"/>
          <w:szCs w:val="22"/>
        </w:rPr>
        <w:t>352-955-2055</w:t>
      </w:r>
    </w:p>
    <w:p w:rsidR="008F3A38" w:rsidRPr="00073FEA" w:rsidRDefault="007627AA" w:rsidP="008F3A38">
      <w:pPr>
        <w:rPr>
          <w:rFonts w:ascii="Garamond" w:hAnsi="Garamond"/>
          <w:sz w:val="22"/>
          <w:szCs w:val="22"/>
        </w:rPr>
      </w:pPr>
      <w:hyperlink r:id="rId11" w:history="1">
        <w:r w:rsidR="008F3A38" w:rsidRPr="00073FEA">
          <w:rPr>
            <w:rStyle w:val="Hyperlink"/>
            <w:rFonts w:ascii="Garamond" w:hAnsi="Garamond"/>
            <w:sz w:val="22"/>
            <w:szCs w:val="22"/>
          </w:rPr>
          <w:t>kelly.bennett@pfsf.org</w:t>
        </w:r>
      </w:hyperlink>
      <w:r w:rsidR="008F3A38" w:rsidRPr="00073FEA">
        <w:rPr>
          <w:rFonts w:ascii="Garamond" w:hAnsi="Garamond"/>
          <w:sz w:val="22"/>
          <w:szCs w:val="22"/>
        </w:rPr>
        <w:t xml:space="preserve"> </w:t>
      </w:r>
    </w:p>
    <w:p w:rsidR="008F3A38" w:rsidRDefault="008F3A38" w:rsidP="008F3A38">
      <w:pPr>
        <w:rPr>
          <w:rFonts w:ascii="Garamond" w:hAnsi="Garamond"/>
          <w:sz w:val="22"/>
          <w:szCs w:val="22"/>
        </w:rPr>
      </w:pPr>
    </w:p>
    <w:p w:rsidR="00DC5D3C" w:rsidRDefault="00DC5D3C" w:rsidP="008F3A38">
      <w:pPr>
        <w:rPr>
          <w:rFonts w:ascii="Garamond" w:hAnsi="Garamond"/>
          <w:sz w:val="22"/>
          <w:szCs w:val="22"/>
        </w:rPr>
      </w:pPr>
    </w:p>
    <w:p w:rsidR="008F3A38" w:rsidRPr="00073FEA" w:rsidRDefault="008F3A38" w:rsidP="008F3A38">
      <w:pPr>
        <w:rPr>
          <w:rFonts w:ascii="Garamond" w:hAnsi="Garamond"/>
          <w:sz w:val="22"/>
          <w:szCs w:val="22"/>
        </w:rPr>
      </w:pPr>
      <w:r w:rsidRPr="00073FEA">
        <w:rPr>
          <w:rFonts w:ascii="Garamond" w:hAnsi="Garamond"/>
          <w:sz w:val="22"/>
          <w:szCs w:val="22"/>
        </w:rPr>
        <w:t>Stacy Merritt</w:t>
      </w:r>
      <w:r w:rsidR="00073FEA">
        <w:rPr>
          <w:rFonts w:ascii="Garamond" w:hAnsi="Garamond"/>
          <w:sz w:val="22"/>
          <w:szCs w:val="22"/>
        </w:rPr>
        <w:t>, MNM</w:t>
      </w:r>
    </w:p>
    <w:p w:rsidR="008F3A38" w:rsidRPr="00073FEA" w:rsidRDefault="00073FEA" w:rsidP="008F3A38">
      <w:pPr>
        <w:rPr>
          <w:rFonts w:ascii="Garamond" w:hAnsi="Garamond"/>
          <w:sz w:val="22"/>
          <w:szCs w:val="22"/>
        </w:rPr>
      </w:pPr>
      <w:r>
        <w:rPr>
          <w:rFonts w:ascii="Garamond" w:hAnsi="Garamond"/>
          <w:sz w:val="22"/>
          <w:szCs w:val="22"/>
        </w:rPr>
        <w:t>DTC</w:t>
      </w:r>
      <w:r w:rsidR="008F3A38" w:rsidRPr="00073FEA">
        <w:rPr>
          <w:rFonts w:ascii="Garamond" w:hAnsi="Garamond"/>
          <w:sz w:val="22"/>
          <w:szCs w:val="22"/>
        </w:rPr>
        <w:t xml:space="preserve">- </w:t>
      </w:r>
      <w:r>
        <w:rPr>
          <w:rFonts w:ascii="Garamond" w:hAnsi="Garamond"/>
          <w:sz w:val="22"/>
          <w:szCs w:val="22"/>
        </w:rPr>
        <w:t>Levy, Gilchrist, Dixie</w:t>
      </w:r>
    </w:p>
    <w:p w:rsidR="008F3A38" w:rsidRPr="00073FEA" w:rsidRDefault="008F3A38" w:rsidP="008F3A38">
      <w:pPr>
        <w:rPr>
          <w:rFonts w:ascii="Garamond" w:hAnsi="Garamond"/>
          <w:sz w:val="22"/>
          <w:szCs w:val="22"/>
        </w:rPr>
      </w:pPr>
      <w:r w:rsidRPr="00073FEA">
        <w:rPr>
          <w:rFonts w:ascii="Garamond" w:hAnsi="Garamond"/>
          <w:sz w:val="22"/>
          <w:szCs w:val="22"/>
        </w:rPr>
        <w:t>352-493-6733 ext. 126</w:t>
      </w:r>
    </w:p>
    <w:p w:rsidR="008F3A38" w:rsidRPr="00073FEA" w:rsidRDefault="007627AA" w:rsidP="008F3A38">
      <w:pPr>
        <w:rPr>
          <w:sz w:val="22"/>
          <w:szCs w:val="22"/>
        </w:rPr>
      </w:pPr>
      <w:hyperlink r:id="rId12" w:history="1">
        <w:r w:rsidR="008F3A38" w:rsidRPr="00073FEA">
          <w:rPr>
            <w:rStyle w:val="Hyperlink"/>
            <w:rFonts w:ascii="Garamond" w:hAnsi="Garamond"/>
            <w:sz w:val="22"/>
            <w:szCs w:val="22"/>
          </w:rPr>
          <w:t>stacy.merritt@pfsf.org</w:t>
        </w:r>
      </w:hyperlink>
    </w:p>
    <w:p w:rsidR="00073FEA" w:rsidRPr="00073FEA" w:rsidRDefault="00073FEA" w:rsidP="008F3A38">
      <w:pPr>
        <w:rPr>
          <w:sz w:val="22"/>
          <w:szCs w:val="22"/>
        </w:rPr>
      </w:pPr>
    </w:p>
    <w:p w:rsidR="00DC5D3C" w:rsidRDefault="00DC5D3C" w:rsidP="00073FEA">
      <w:pPr>
        <w:pStyle w:val="PlainText"/>
        <w:rPr>
          <w:rFonts w:ascii="Garamond" w:hAnsi="Garamond"/>
          <w:sz w:val="22"/>
          <w:szCs w:val="22"/>
        </w:rPr>
      </w:pPr>
    </w:p>
    <w:p w:rsidR="00073FEA" w:rsidRPr="00073FEA" w:rsidRDefault="00073FEA" w:rsidP="00073FEA">
      <w:pPr>
        <w:pStyle w:val="PlainText"/>
        <w:rPr>
          <w:rFonts w:ascii="Garamond" w:hAnsi="Garamond"/>
          <w:sz w:val="22"/>
          <w:szCs w:val="22"/>
        </w:rPr>
      </w:pPr>
      <w:r w:rsidRPr="00073FEA">
        <w:rPr>
          <w:rFonts w:ascii="Garamond" w:hAnsi="Garamond"/>
          <w:sz w:val="22"/>
          <w:szCs w:val="22"/>
        </w:rPr>
        <w:t>Christiam Joseph, MSW, LCSW</w:t>
      </w:r>
    </w:p>
    <w:p w:rsidR="00073FEA" w:rsidRPr="00073FEA" w:rsidRDefault="00073FEA" w:rsidP="00073FEA">
      <w:pPr>
        <w:pStyle w:val="PlainText"/>
        <w:rPr>
          <w:rFonts w:ascii="Garamond" w:hAnsi="Garamond"/>
          <w:sz w:val="22"/>
          <w:szCs w:val="22"/>
        </w:rPr>
      </w:pPr>
      <w:r w:rsidRPr="00073FEA">
        <w:rPr>
          <w:rFonts w:ascii="Garamond" w:hAnsi="Garamond"/>
          <w:sz w:val="22"/>
          <w:szCs w:val="22"/>
        </w:rPr>
        <w:t>FSU Training Coordinator</w:t>
      </w:r>
    </w:p>
    <w:p w:rsidR="00073FEA" w:rsidRPr="00073FEA" w:rsidRDefault="00073FEA" w:rsidP="00073FEA">
      <w:pPr>
        <w:pStyle w:val="PlainText"/>
        <w:rPr>
          <w:rFonts w:ascii="Garamond" w:hAnsi="Garamond"/>
          <w:sz w:val="22"/>
          <w:szCs w:val="22"/>
        </w:rPr>
      </w:pPr>
      <w:r>
        <w:rPr>
          <w:rFonts w:ascii="Garamond" w:hAnsi="Garamond"/>
          <w:sz w:val="22"/>
          <w:szCs w:val="22"/>
        </w:rPr>
        <w:lastRenderedPageBreak/>
        <w:t xml:space="preserve">DTC- </w:t>
      </w:r>
      <w:proofErr w:type="gramStart"/>
      <w:r>
        <w:rPr>
          <w:rFonts w:ascii="Garamond" w:hAnsi="Garamond"/>
          <w:sz w:val="22"/>
          <w:szCs w:val="22"/>
        </w:rPr>
        <w:t xml:space="preserve">Circuit </w:t>
      </w:r>
      <w:r w:rsidRPr="00073FEA">
        <w:rPr>
          <w:rFonts w:ascii="Garamond" w:hAnsi="Garamond"/>
          <w:sz w:val="22"/>
          <w:szCs w:val="22"/>
        </w:rPr>
        <w:t xml:space="preserve"> 3</w:t>
      </w:r>
      <w:proofErr w:type="gramEnd"/>
    </w:p>
    <w:p w:rsidR="00073FEA" w:rsidRPr="00073FEA" w:rsidRDefault="00073FEA" w:rsidP="00073FEA">
      <w:pPr>
        <w:pStyle w:val="PlainText"/>
        <w:rPr>
          <w:rFonts w:ascii="Garamond" w:hAnsi="Garamond"/>
          <w:sz w:val="22"/>
          <w:szCs w:val="22"/>
        </w:rPr>
      </w:pPr>
      <w:r w:rsidRPr="00073FEA">
        <w:rPr>
          <w:rFonts w:ascii="Garamond" w:hAnsi="Garamond"/>
          <w:sz w:val="22"/>
          <w:szCs w:val="22"/>
        </w:rPr>
        <w:t xml:space="preserve">904-254-9449 </w:t>
      </w:r>
      <w:r>
        <w:rPr>
          <w:rFonts w:ascii="Garamond" w:hAnsi="Garamond"/>
          <w:sz w:val="22"/>
          <w:szCs w:val="22"/>
        </w:rPr>
        <w:t>(c</w:t>
      </w:r>
      <w:r w:rsidRPr="00073FEA">
        <w:rPr>
          <w:rFonts w:ascii="Garamond" w:hAnsi="Garamond"/>
          <w:sz w:val="22"/>
          <w:szCs w:val="22"/>
        </w:rPr>
        <w:t>ell</w:t>
      </w:r>
      <w:r>
        <w:rPr>
          <w:rFonts w:ascii="Garamond" w:hAnsi="Garamond"/>
          <w:sz w:val="22"/>
          <w:szCs w:val="22"/>
        </w:rPr>
        <w:t>)</w:t>
      </w:r>
    </w:p>
    <w:p w:rsidR="00073FEA" w:rsidRPr="00073FEA" w:rsidRDefault="007627AA" w:rsidP="00073FEA">
      <w:pPr>
        <w:pStyle w:val="PlainText"/>
        <w:rPr>
          <w:rFonts w:ascii="Garamond" w:hAnsi="Garamond"/>
          <w:sz w:val="22"/>
          <w:szCs w:val="22"/>
        </w:rPr>
      </w:pPr>
      <w:hyperlink r:id="rId13" w:history="1">
        <w:r w:rsidR="00073FEA" w:rsidRPr="00073FEA">
          <w:rPr>
            <w:rStyle w:val="Hyperlink"/>
            <w:rFonts w:ascii="Garamond" w:hAnsi="Garamond"/>
            <w:sz w:val="22"/>
            <w:szCs w:val="22"/>
          </w:rPr>
          <w:t>cjoseph@fsu.edu</w:t>
        </w:r>
      </w:hyperlink>
    </w:p>
    <w:p w:rsidR="008F3A38" w:rsidRPr="00073FEA" w:rsidRDefault="007627AA" w:rsidP="00073FEA">
      <w:pPr>
        <w:pStyle w:val="PlainText"/>
        <w:rPr>
          <w:rFonts w:ascii="Garamond" w:hAnsi="Garamond"/>
        </w:rPr>
      </w:pPr>
      <w:hyperlink r:id="rId14" w:history="1">
        <w:r w:rsidR="00073FEA" w:rsidRPr="00E8558E">
          <w:rPr>
            <w:rStyle w:val="Hyperlink"/>
            <w:rFonts w:ascii="Garamond" w:hAnsi="Garamond"/>
            <w:sz w:val="22"/>
            <w:szCs w:val="22"/>
          </w:rPr>
          <w:t>christiam_joseph@dcf.state.fl.us</w:t>
        </w:r>
      </w:hyperlink>
      <w:r w:rsidR="00073FEA">
        <w:rPr>
          <w:rFonts w:ascii="Garamond" w:hAnsi="Garamond"/>
          <w:sz w:val="22"/>
          <w:szCs w:val="22"/>
        </w:rPr>
        <w:t xml:space="preserve"> </w:t>
      </w:r>
    </w:p>
    <w:sectPr w:rsidR="008F3A38" w:rsidRPr="00073FEA" w:rsidSect="00073FEA">
      <w:type w:val="continuous"/>
      <w:pgSz w:w="12240" w:h="15840"/>
      <w:pgMar w:top="720" w:right="1440" w:bottom="720" w:left="1440" w:header="720" w:footer="720" w:gutter="0"/>
      <w:cols w:num="3" w:space="49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F3" w:rsidRDefault="009515F3">
      <w:r>
        <w:separator/>
      </w:r>
    </w:p>
  </w:endnote>
  <w:endnote w:type="continuationSeparator" w:id="0">
    <w:p w:rsidR="009515F3" w:rsidRDefault="00951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F3" w:rsidRPr="00DC5D3C" w:rsidRDefault="00DC5D3C">
    <w:pPr>
      <w:pStyle w:val="Footer"/>
      <w:rPr>
        <w:rFonts w:ascii="Trebuchet MS" w:hAnsi="Trebuchet MS"/>
      </w:rPr>
    </w:pPr>
    <w:r w:rsidRPr="00DC5D3C">
      <w:rPr>
        <w:rFonts w:ascii="Trebuchet MS" w:hAnsi="Trebuchet MS" w:cs="Arial"/>
        <w:sz w:val="20"/>
        <w:szCs w:val="20"/>
      </w:rPr>
      <w:t>PSF-197 (05/18/11)</w:t>
    </w:r>
    <w:r w:rsidR="009515F3" w:rsidRPr="00DC5D3C">
      <w:rPr>
        <w:rFonts w:ascii="Trebuchet MS" w:hAnsi="Trebuchet MS" w:cs="Arial"/>
        <w:sz w:val="20"/>
        <w:szCs w:val="20"/>
      </w:rPr>
      <w:tab/>
    </w:r>
    <w:r w:rsidR="009515F3" w:rsidRPr="00DC5D3C">
      <w:rPr>
        <w:rFonts w:ascii="Trebuchet MS" w:hAnsi="Trebuchet MS" w:cs="Arial"/>
        <w:sz w:val="20"/>
        <w:szCs w:val="20"/>
      </w:rPr>
      <w:tab/>
      <w:t xml:space="preserve">Page </w:t>
    </w:r>
    <w:r w:rsidR="007627AA" w:rsidRPr="00DC5D3C">
      <w:rPr>
        <w:rFonts w:ascii="Trebuchet MS" w:hAnsi="Trebuchet MS" w:cs="Arial"/>
        <w:sz w:val="20"/>
        <w:szCs w:val="20"/>
      </w:rPr>
      <w:fldChar w:fldCharType="begin"/>
    </w:r>
    <w:r w:rsidR="009515F3" w:rsidRPr="00DC5D3C">
      <w:rPr>
        <w:rFonts w:ascii="Trebuchet MS" w:hAnsi="Trebuchet MS" w:cs="Arial"/>
        <w:sz w:val="20"/>
        <w:szCs w:val="20"/>
      </w:rPr>
      <w:instrText xml:space="preserve"> PAGE </w:instrText>
    </w:r>
    <w:r w:rsidR="007627AA" w:rsidRPr="00DC5D3C">
      <w:rPr>
        <w:rFonts w:ascii="Trebuchet MS" w:hAnsi="Trebuchet MS" w:cs="Arial"/>
        <w:sz w:val="20"/>
        <w:szCs w:val="20"/>
      </w:rPr>
      <w:fldChar w:fldCharType="separate"/>
    </w:r>
    <w:r w:rsidR="00E22FF2">
      <w:rPr>
        <w:rFonts w:ascii="Trebuchet MS" w:hAnsi="Trebuchet MS" w:cs="Arial"/>
        <w:noProof/>
        <w:sz w:val="20"/>
        <w:szCs w:val="20"/>
      </w:rPr>
      <w:t>1</w:t>
    </w:r>
    <w:r w:rsidR="007627AA" w:rsidRPr="00DC5D3C">
      <w:rPr>
        <w:rFonts w:ascii="Trebuchet MS" w:hAnsi="Trebuchet MS" w:cs="Arial"/>
        <w:sz w:val="20"/>
        <w:szCs w:val="20"/>
      </w:rPr>
      <w:fldChar w:fldCharType="end"/>
    </w:r>
    <w:r w:rsidR="009515F3" w:rsidRPr="00DC5D3C">
      <w:rPr>
        <w:rFonts w:ascii="Trebuchet MS" w:hAnsi="Trebuchet MS" w:cs="Arial"/>
        <w:sz w:val="20"/>
        <w:szCs w:val="20"/>
      </w:rPr>
      <w:t xml:space="preserve"> of </w:t>
    </w:r>
    <w:r w:rsidR="007627AA" w:rsidRPr="00DC5D3C">
      <w:rPr>
        <w:rFonts w:ascii="Trebuchet MS" w:hAnsi="Trebuchet MS" w:cs="Arial"/>
        <w:sz w:val="20"/>
        <w:szCs w:val="20"/>
      </w:rPr>
      <w:fldChar w:fldCharType="begin"/>
    </w:r>
    <w:r w:rsidR="009515F3" w:rsidRPr="00DC5D3C">
      <w:rPr>
        <w:rFonts w:ascii="Trebuchet MS" w:hAnsi="Trebuchet MS" w:cs="Arial"/>
        <w:sz w:val="20"/>
        <w:szCs w:val="20"/>
      </w:rPr>
      <w:instrText xml:space="preserve"> NUMPAGES </w:instrText>
    </w:r>
    <w:r w:rsidR="007627AA" w:rsidRPr="00DC5D3C">
      <w:rPr>
        <w:rFonts w:ascii="Trebuchet MS" w:hAnsi="Trebuchet MS" w:cs="Arial"/>
        <w:sz w:val="20"/>
        <w:szCs w:val="20"/>
      </w:rPr>
      <w:fldChar w:fldCharType="separate"/>
    </w:r>
    <w:r w:rsidR="00E22FF2">
      <w:rPr>
        <w:rFonts w:ascii="Trebuchet MS" w:hAnsi="Trebuchet MS" w:cs="Arial"/>
        <w:noProof/>
        <w:sz w:val="20"/>
        <w:szCs w:val="20"/>
      </w:rPr>
      <w:t>2</w:t>
    </w:r>
    <w:r w:rsidR="007627AA" w:rsidRPr="00DC5D3C">
      <w:rPr>
        <w:rFonts w:ascii="Trebuchet MS" w:hAnsi="Trebuchet MS" w:cs="Arial"/>
        <w:sz w:val="20"/>
        <w:szCs w:val="20"/>
      </w:rPr>
      <w:fldChar w:fldCharType="end"/>
    </w:r>
  </w:p>
  <w:p w:rsidR="00DC5D3C" w:rsidRDefault="00DC5D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F3" w:rsidRPr="00402AAD" w:rsidRDefault="00E45BBF">
    <w:pPr>
      <w:pStyle w:val="Footer"/>
      <w:rPr>
        <w:rFonts w:ascii="Trebuchet MS" w:hAnsi="Trebuchet MS"/>
      </w:rPr>
    </w:pPr>
    <w:r>
      <w:rPr>
        <w:rFonts w:ascii="Trebuchet MS" w:hAnsi="Trebuchet MS" w:cs="Arial"/>
        <w:sz w:val="20"/>
        <w:szCs w:val="20"/>
      </w:rPr>
      <w:t>04</w:t>
    </w:r>
    <w:r w:rsidR="009515F3">
      <w:rPr>
        <w:rFonts w:ascii="Trebuchet MS" w:hAnsi="Trebuchet MS" w:cs="Arial"/>
        <w:sz w:val="20"/>
        <w:szCs w:val="20"/>
      </w:rPr>
      <w:t>/2011</w:t>
    </w:r>
    <w:r>
      <w:rPr>
        <w:rFonts w:ascii="Trebuchet MS" w:hAnsi="Trebuchet MS" w:cs="Arial"/>
        <w:sz w:val="20"/>
        <w:szCs w:val="20"/>
      </w:rPr>
      <w:t>-Revised</w:t>
    </w:r>
    <w:r w:rsidR="009515F3">
      <w:rPr>
        <w:rFonts w:ascii="Trebuchet MS" w:hAnsi="Trebuchet MS" w:cs="Arial"/>
        <w:sz w:val="20"/>
        <w:szCs w:val="20"/>
      </w:rPr>
      <w:tab/>
    </w:r>
    <w:r w:rsidR="009515F3">
      <w:rPr>
        <w:rFonts w:ascii="Trebuchet MS" w:hAnsi="Trebuchet MS" w:cs="Arial"/>
        <w:sz w:val="20"/>
        <w:szCs w:val="20"/>
      </w:rPr>
      <w:tab/>
    </w:r>
    <w:r w:rsidR="009515F3" w:rsidRPr="00402AAD">
      <w:rPr>
        <w:rFonts w:ascii="Trebuchet MS" w:hAnsi="Trebuchet MS" w:cs="Arial"/>
        <w:sz w:val="20"/>
        <w:szCs w:val="20"/>
      </w:rPr>
      <w:t xml:space="preserve">Page </w:t>
    </w:r>
    <w:r w:rsidR="007627AA" w:rsidRPr="00402AAD">
      <w:rPr>
        <w:rFonts w:ascii="Trebuchet MS" w:hAnsi="Trebuchet MS" w:cs="Arial"/>
        <w:sz w:val="20"/>
        <w:szCs w:val="20"/>
      </w:rPr>
      <w:fldChar w:fldCharType="begin"/>
    </w:r>
    <w:r w:rsidR="009515F3" w:rsidRPr="00402AAD">
      <w:rPr>
        <w:rFonts w:ascii="Trebuchet MS" w:hAnsi="Trebuchet MS" w:cs="Arial"/>
        <w:sz w:val="20"/>
        <w:szCs w:val="20"/>
      </w:rPr>
      <w:instrText xml:space="preserve"> PAGE </w:instrText>
    </w:r>
    <w:r w:rsidR="007627AA" w:rsidRPr="00402AAD">
      <w:rPr>
        <w:rFonts w:ascii="Trebuchet MS" w:hAnsi="Trebuchet MS" w:cs="Arial"/>
        <w:sz w:val="20"/>
        <w:szCs w:val="20"/>
      </w:rPr>
      <w:fldChar w:fldCharType="separate"/>
    </w:r>
    <w:r w:rsidR="00E22FF2">
      <w:rPr>
        <w:rFonts w:ascii="Trebuchet MS" w:hAnsi="Trebuchet MS" w:cs="Arial"/>
        <w:noProof/>
        <w:sz w:val="20"/>
        <w:szCs w:val="20"/>
      </w:rPr>
      <w:t>3</w:t>
    </w:r>
    <w:r w:rsidR="007627AA" w:rsidRPr="00402AAD">
      <w:rPr>
        <w:rFonts w:ascii="Trebuchet MS" w:hAnsi="Trebuchet MS" w:cs="Arial"/>
        <w:sz w:val="20"/>
        <w:szCs w:val="20"/>
      </w:rPr>
      <w:fldChar w:fldCharType="end"/>
    </w:r>
    <w:r w:rsidR="009515F3" w:rsidRPr="00402AAD">
      <w:rPr>
        <w:rFonts w:ascii="Trebuchet MS" w:hAnsi="Trebuchet MS" w:cs="Arial"/>
        <w:sz w:val="20"/>
        <w:szCs w:val="20"/>
      </w:rPr>
      <w:t xml:space="preserve"> of </w:t>
    </w:r>
    <w:r w:rsidR="007627AA" w:rsidRPr="00402AAD">
      <w:rPr>
        <w:rFonts w:ascii="Trebuchet MS" w:hAnsi="Trebuchet MS" w:cs="Arial"/>
        <w:sz w:val="20"/>
        <w:szCs w:val="20"/>
      </w:rPr>
      <w:fldChar w:fldCharType="begin"/>
    </w:r>
    <w:r w:rsidR="009515F3" w:rsidRPr="00402AAD">
      <w:rPr>
        <w:rFonts w:ascii="Trebuchet MS" w:hAnsi="Trebuchet MS" w:cs="Arial"/>
        <w:sz w:val="20"/>
        <w:szCs w:val="20"/>
      </w:rPr>
      <w:instrText xml:space="preserve"> NUMPAGES </w:instrText>
    </w:r>
    <w:r w:rsidR="007627AA" w:rsidRPr="00402AAD">
      <w:rPr>
        <w:rFonts w:ascii="Trebuchet MS" w:hAnsi="Trebuchet MS" w:cs="Arial"/>
        <w:sz w:val="20"/>
        <w:szCs w:val="20"/>
      </w:rPr>
      <w:fldChar w:fldCharType="separate"/>
    </w:r>
    <w:r w:rsidR="00E22FF2">
      <w:rPr>
        <w:rFonts w:ascii="Trebuchet MS" w:hAnsi="Trebuchet MS" w:cs="Arial"/>
        <w:noProof/>
        <w:sz w:val="20"/>
        <w:szCs w:val="20"/>
      </w:rPr>
      <w:t>3</w:t>
    </w:r>
    <w:r w:rsidR="007627AA" w:rsidRPr="00402AAD">
      <w:rPr>
        <w:rFonts w:ascii="Trebuchet MS" w:hAnsi="Trebuchet MS"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F3" w:rsidRDefault="009515F3">
      <w:r>
        <w:separator/>
      </w:r>
    </w:p>
  </w:footnote>
  <w:footnote w:type="continuationSeparator" w:id="0">
    <w:p w:rsidR="009515F3" w:rsidRDefault="00951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F3" w:rsidRDefault="009515F3" w:rsidP="00BD020B">
    <w:pPr>
      <w:pStyle w:val="Header"/>
      <w:pBdr>
        <w:bottom w:val="single" w:sz="4" w:space="1" w:color="auto"/>
      </w:pBdr>
      <w:rPr>
        <w:rFonts w:ascii="Arial" w:hAnsi="Arial"/>
        <w:b/>
        <w:smallCaps/>
        <w:shadow/>
        <w:color w:val="333399"/>
        <w:sz w:val="28"/>
      </w:rPr>
    </w:pPr>
    <w:r>
      <w:rPr>
        <w:noProof/>
      </w:rPr>
      <w:drawing>
        <wp:anchor distT="0" distB="0" distL="114300" distR="114300" simplePos="0" relativeHeight="251659776" behindDoc="0" locked="0" layoutInCell="1" allowOverlap="1">
          <wp:simplePos x="0" y="0"/>
          <wp:positionH relativeFrom="column">
            <wp:posOffset>-228600</wp:posOffset>
          </wp:positionH>
          <wp:positionV relativeFrom="paragraph">
            <wp:posOffset>19050</wp:posOffset>
          </wp:positionV>
          <wp:extent cx="2076450" cy="790575"/>
          <wp:effectExtent l="0" t="0" r="0" b="0"/>
          <wp:wrapNone/>
          <wp:docPr id="2" name="Picture 1"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a:clrChange>
                      <a:clrFrom>
                        <a:srgbClr val="FDFDFD"/>
                      </a:clrFrom>
                      <a:clrTo>
                        <a:srgbClr val="FDFDFD">
                          <a:alpha val="0"/>
                        </a:srgbClr>
                      </a:clrTo>
                    </a:clrChange>
                  </a:blip>
                  <a:srcRect b="13542"/>
                  <a:stretch>
                    <a:fillRect/>
                  </a:stretch>
                </pic:blipFill>
                <pic:spPr bwMode="auto">
                  <a:xfrm>
                    <a:off x="0" y="0"/>
                    <a:ext cx="2076450" cy="790575"/>
                  </a:xfrm>
                  <a:prstGeom prst="rect">
                    <a:avLst/>
                  </a:prstGeom>
                  <a:noFill/>
                  <a:ln w="9525">
                    <a:noFill/>
                    <a:miter lim="800000"/>
                    <a:headEnd/>
                    <a:tailEnd/>
                  </a:ln>
                </pic:spPr>
              </pic:pic>
            </a:graphicData>
          </a:graphic>
        </wp:anchor>
      </w:drawing>
    </w:r>
    <w:r w:rsidRPr="002E674A">
      <w:rPr>
        <w:rFonts w:ascii="Arial" w:hAnsi="Arial"/>
        <w:b/>
        <w:smallCaps/>
        <w:shadow/>
        <w:color w:val="333399"/>
        <w:sz w:val="28"/>
      </w:rPr>
      <w:tab/>
    </w:r>
    <w:r w:rsidRPr="002E674A">
      <w:rPr>
        <w:rFonts w:ascii="Arial" w:hAnsi="Arial"/>
        <w:b/>
        <w:smallCaps/>
        <w:shadow/>
        <w:color w:val="333399"/>
        <w:sz w:val="28"/>
      </w:rPr>
      <w:tab/>
    </w:r>
  </w:p>
  <w:p w:rsidR="009515F3" w:rsidRDefault="009515F3" w:rsidP="00BD020B">
    <w:pPr>
      <w:pStyle w:val="Header"/>
      <w:pBdr>
        <w:bottom w:val="single" w:sz="4" w:space="1" w:color="auto"/>
      </w:pBdr>
      <w:rPr>
        <w:rFonts w:ascii="Arial" w:hAnsi="Arial"/>
        <w:b/>
        <w:smallCaps/>
        <w:shadow/>
        <w:color w:val="333399"/>
        <w:sz w:val="28"/>
      </w:rPr>
    </w:pPr>
  </w:p>
  <w:p w:rsidR="009515F3" w:rsidRDefault="009515F3" w:rsidP="00BD020B">
    <w:pPr>
      <w:pStyle w:val="Header"/>
      <w:pBdr>
        <w:bottom w:val="single" w:sz="4" w:space="1" w:color="auto"/>
      </w:pBdr>
      <w:rPr>
        <w:rFonts w:ascii="Arial" w:hAnsi="Arial"/>
        <w:b/>
        <w:smallCaps/>
        <w:shadow/>
        <w:color w:val="333399"/>
        <w:sz w:val="28"/>
      </w:rPr>
    </w:pPr>
  </w:p>
  <w:p w:rsidR="009515F3" w:rsidRPr="002B6B58" w:rsidRDefault="009515F3" w:rsidP="00BD020B">
    <w:pPr>
      <w:pStyle w:val="Header"/>
      <w:pBdr>
        <w:bottom w:val="single" w:sz="4" w:space="1" w:color="auto"/>
      </w:pBdr>
      <w:jc w:val="right"/>
      <w:rPr>
        <w:rFonts w:ascii="Garamond" w:hAnsi="Garamond"/>
        <w:b/>
        <w:smallCaps/>
        <w:shadow/>
        <w:color w:val="007DB1"/>
        <w:sz w:val="28"/>
      </w:rPr>
    </w:pPr>
    <w:r>
      <w:rPr>
        <w:rFonts w:ascii="Garamond" w:hAnsi="Garamond"/>
        <w:b/>
        <w:smallCaps/>
        <w:shadow/>
        <w:color w:val="007DB1"/>
        <w:sz w:val="28"/>
      </w:rPr>
      <w:t>Decision Team Staffings- FAQ’s (Outside Agencies)</w:t>
    </w:r>
  </w:p>
  <w:p w:rsidR="009515F3" w:rsidRDefault="009515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F3" w:rsidRDefault="009515F3" w:rsidP="00BD020B">
    <w:pPr>
      <w:pStyle w:val="Header"/>
      <w:pBdr>
        <w:bottom w:val="single" w:sz="4" w:space="1" w:color="auto"/>
      </w:pBdr>
      <w:rPr>
        <w:rFonts w:ascii="Arial" w:hAnsi="Arial"/>
        <w:b/>
        <w:smallCaps/>
        <w:shadow/>
        <w:color w:val="333399"/>
        <w:sz w:val="28"/>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19050</wp:posOffset>
          </wp:positionV>
          <wp:extent cx="2076450" cy="790575"/>
          <wp:effectExtent l="0" t="0" r="0" b="0"/>
          <wp:wrapNone/>
          <wp:docPr id="1" name="Picture 1"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a:clrChange>
                      <a:clrFrom>
                        <a:srgbClr val="FDFDFD"/>
                      </a:clrFrom>
                      <a:clrTo>
                        <a:srgbClr val="FDFDFD">
                          <a:alpha val="0"/>
                        </a:srgbClr>
                      </a:clrTo>
                    </a:clrChange>
                  </a:blip>
                  <a:srcRect b="13542"/>
                  <a:stretch>
                    <a:fillRect/>
                  </a:stretch>
                </pic:blipFill>
                <pic:spPr bwMode="auto">
                  <a:xfrm>
                    <a:off x="0" y="0"/>
                    <a:ext cx="2076450" cy="790575"/>
                  </a:xfrm>
                  <a:prstGeom prst="rect">
                    <a:avLst/>
                  </a:prstGeom>
                  <a:noFill/>
                  <a:ln w="9525">
                    <a:noFill/>
                    <a:miter lim="800000"/>
                    <a:headEnd/>
                    <a:tailEnd/>
                  </a:ln>
                </pic:spPr>
              </pic:pic>
            </a:graphicData>
          </a:graphic>
        </wp:anchor>
      </w:drawing>
    </w:r>
    <w:r w:rsidRPr="002E674A">
      <w:rPr>
        <w:rFonts w:ascii="Arial" w:hAnsi="Arial"/>
        <w:b/>
        <w:smallCaps/>
        <w:shadow/>
        <w:color w:val="333399"/>
        <w:sz w:val="28"/>
      </w:rPr>
      <w:tab/>
    </w:r>
    <w:r w:rsidRPr="002E674A">
      <w:rPr>
        <w:rFonts w:ascii="Arial" w:hAnsi="Arial"/>
        <w:b/>
        <w:smallCaps/>
        <w:shadow/>
        <w:color w:val="333399"/>
        <w:sz w:val="28"/>
      </w:rPr>
      <w:tab/>
    </w:r>
  </w:p>
  <w:p w:rsidR="009515F3" w:rsidRDefault="009515F3" w:rsidP="00BD020B">
    <w:pPr>
      <w:pStyle w:val="Header"/>
      <w:pBdr>
        <w:bottom w:val="single" w:sz="4" w:space="1" w:color="auto"/>
      </w:pBdr>
      <w:rPr>
        <w:rFonts w:ascii="Arial" w:hAnsi="Arial"/>
        <w:b/>
        <w:smallCaps/>
        <w:shadow/>
        <w:color w:val="333399"/>
        <w:sz w:val="28"/>
      </w:rPr>
    </w:pPr>
  </w:p>
  <w:p w:rsidR="009515F3" w:rsidRDefault="009515F3" w:rsidP="00BD020B">
    <w:pPr>
      <w:pStyle w:val="Header"/>
      <w:pBdr>
        <w:bottom w:val="single" w:sz="4" w:space="1" w:color="auto"/>
      </w:pBdr>
      <w:rPr>
        <w:rFonts w:ascii="Arial" w:hAnsi="Arial"/>
        <w:b/>
        <w:smallCaps/>
        <w:shadow/>
        <w:color w:val="333399"/>
        <w:sz w:val="28"/>
      </w:rPr>
    </w:pPr>
  </w:p>
  <w:p w:rsidR="009515F3" w:rsidRPr="002B6B58" w:rsidRDefault="009515F3" w:rsidP="00BD020B">
    <w:pPr>
      <w:pStyle w:val="Header"/>
      <w:pBdr>
        <w:bottom w:val="single" w:sz="4" w:space="1" w:color="auto"/>
      </w:pBdr>
      <w:jc w:val="right"/>
      <w:rPr>
        <w:rFonts w:ascii="Garamond" w:hAnsi="Garamond"/>
        <w:b/>
        <w:smallCaps/>
        <w:shadow/>
        <w:color w:val="007DB1"/>
        <w:sz w:val="28"/>
      </w:rPr>
    </w:pPr>
    <w:r>
      <w:rPr>
        <w:rFonts w:ascii="Garamond" w:hAnsi="Garamond"/>
        <w:b/>
        <w:smallCaps/>
        <w:shadow/>
        <w:color w:val="007DB1"/>
        <w:sz w:val="28"/>
      </w:rPr>
      <w:t>Decision Team Staffings- FAQ’s (CMA)</w:t>
    </w:r>
  </w:p>
  <w:p w:rsidR="009515F3" w:rsidRDefault="009515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1D6"/>
    <w:multiLevelType w:val="hybridMultilevel"/>
    <w:tmpl w:val="8CB68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A16D0"/>
    <w:multiLevelType w:val="singleLevel"/>
    <w:tmpl w:val="C226D96C"/>
    <w:lvl w:ilvl="0">
      <w:start w:val="2"/>
      <w:numFmt w:val="decimal"/>
      <w:lvlText w:val="%1."/>
      <w:lvlJc w:val="left"/>
      <w:pPr>
        <w:tabs>
          <w:tab w:val="num" w:pos="735"/>
        </w:tabs>
        <w:ind w:left="735" w:hanging="390"/>
      </w:pPr>
      <w:rPr>
        <w:rFonts w:hint="default"/>
      </w:rPr>
    </w:lvl>
  </w:abstractNum>
  <w:abstractNum w:abstractNumId="2">
    <w:nsid w:val="05704388"/>
    <w:multiLevelType w:val="hybridMultilevel"/>
    <w:tmpl w:val="C316DECA"/>
    <w:lvl w:ilvl="0" w:tplc="2B76CC14">
      <w:start w:val="1"/>
      <w:numFmt w:val="bullet"/>
      <w:lvlText w:val=""/>
      <w:lvlJc w:val="left"/>
      <w:pPr>
        <w:tabs>
          <w:tab w:val="num" w:pos="3240"/>
        </w:tabs>
        <w:ind w:left="3240" w:hanging="360"/>
      </w:pPr>
      <w:rPr>
        <w:rFonts w:ascii="Symbol" w:eastAsia="Times New Roman" w:hAnsi="Symbol" w:cs="Aria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FC8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1866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BD1927"/>
    <w:multiLevelType w:val="hybridMultilevel"/>
    <w:tmpl w:val="56101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B3A19"/>
    <w:multiLevelType w:val="hybridMultilevel"/>
    <w:tmpl w:val="28AEF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7B201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AF7B5D"/>
    <w:multiLevelType w:val="hybridMultilevel"/>
    <w:tmpl w:val="DE760786"/>
    <w:lvl w:ilvl="0" w:tplc="FF6A5190">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E87F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35BC365E"/>
    <w:multiLevelType w:val="hybridMultilevel"/>
    <w:tmpl w:val="7B4CB1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133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E65E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385217"/>
    <w:multiLevelType w:val="hybridMultilevel"/>
    <w:tmpl w:val="1708CEB6"/>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8884F75"/>
    <w:multiLevelType w:val="hybridMultilevel"/>
    <w:tmpl w:val="6E0081C4"/>
    <w:lvl w:ilvl="0" w:tplc="CC488F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9707FD6"/>
    <w:multiLevelType w:val="hybridMultilevel"/>
    <w:tmpl w:val="BB8C9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124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95F5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327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B25282B"/>
    <w:multiLevelType w:val="hybridMultilevel"/>
    <w:tmpl w:val="CD20FE7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99E3394">
      <w:start w:val="5"/>
      <w:numFmt w:val="low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E41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0823A3"/>
    <w:multiLevelType w:val="hybridMultilevel"/>
    <w:tmpl w:val="F7DEA66E"/>
    <w:lvl w:ilvl="0" w:tplc="04090019">
      <w:start w:val="8"/>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C6F0F60"/>
    <w:multiLevelType w:val="hybridMultilevel"/>
    <w:tmpl w:val="1C22A7D0"/>
    <w:lvl w:ilvl="0" w:tplc="FF6A5190">
      <w:start w:val="1"/>
      <w:numFmt w:val="decimal"/>
      <w:lvlText w:val="%1."/>
      <w:lvlJc w:val="left"/>
      <w:pPr>
        <w:tabs>
          <w:tab w:val="num" w:pos="360"/>
        </w:tabs>
        <w:ind w:left="360" w:hanging="36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B51065"/>
    <w:multiLevelType w:val="singleLevel"/>
    <w:tmpl w:val="04090011"/>
    <w:lvl w:ilvl="0">
      <w:start w:val="1"/>
      <w:numFmt w:val="decimal"/>
      <w:lvlText w:val="%1)"/>
      <w:lvlJc w:val="left"/>
      <w:pPr>
        <w:tabs>
          <w:tab w:val="num" w:pos="540"/>
        </w:tabs>
        <w:ind w:left="540" w:hanging="360"/>
      </w:pPr>
      <w:rPr>
        <w:rFonts w:hint="default"/>
      </w:rPr>
    </w:lvl>
  </w:abstractNum>
  <w:num w:numId="1">
    <w:abstractNumId w:val="19"/>
  </w:num>
  <w:num w:numId="2">
    <w:abstractNumId w:val="21"/>
  </w:num>
  <w:num w:numId="3">
    <w:abstractNumId w:val="22"/>
  </w:num>
  <w:num w:numId="4">
    <w:abstractNumId w:val="5"/>
  </w:num>
  <w:num w:numId="5">
    <w:abstractNumId w:val="14"/>
  </w:num>
  <w:num w:numId="6">
    <w:abstractNumId w:val="15"/>
  </w:num>
  <w:num w:numId="7">
    <w:abstractNumId w:val="0"/>
  </w:num>
  <w:num w:numId="8">
    <w:abstractNumId w:val="8"/>
  </w:num>
  <w:num w:numId="9">
    <w:abstractNumId w:val="2"/>
  </w:num>
  <w:num w:numId="10">
    <w:abstractNumId w:val="13"/>
  </w:num>
  <w:num w:numId="11">
    <w:abstractNumId w:val="6"/>
  </w:num>
  <w:num w:numId="12">
    <w:abstractNumId w:val="23"/>
  </w:num>
  <w:num w:numId="13">
    <w:abstractNumId w:val="1"/>
  </w:num>
  <w:num w:numId="14">
    <w:abstractNumId w:val="11"/>
  </w:num>
  <w:num w:numId="15">
    <w:abstractNumId w:val="3"/>
  </w:num>
  <w:num w:numId="16">
    <w:abstractNumId w:val="18"/>
  </w:num>
  <w:num w:numId="17">
    <w:abstractNumId w:val="17"/>
  </w:num>
  <w:num w:numId="18">
    <w:abstractNumId w:val="12"/>
  </w:num>
  <w:num w:numId="19">
    <w:abstractNumId w:val="16"/>
  </w:num>
  <w:num w:numId="20">
    <w:abstractNumId w:val="4"/>
  </w:num>
  <w:num w:numId="21">
    <w:abstractNumId w:val="20"/>
  </w:num>
  <w:num w:numId="22">
    <w:abstractNumId w:val="7"/>
  </w:num>
  <w:num w:numId="23">
    <w:abstractNumId w:val="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A4315B"/>
    <w:rsid w:val="00042BBC"/>
    <w:rsid w:val="00073FEA"/>
    <w:rsid w:val="000C62AE"/>
    <w:rsid w:val="000C6921"/>
    <w:rsid w:val="000D5374"/>
    <w:rsid w:val="000E2FA7"/>
    <w:rsid w:val="000F20CC"/>
    <w:rsid w:val="001C706E"/>
    <w:rsid w:val="001F4E2B"/>
    <w:rsid w:val="002265F7"/>
    <w:rsid w:val="0025001F"/>
    <w:rsid w:val="00257BF0"/>
    <w:rsid w:val="002B6B58"/>
    <w:rsid w:val="002C2C23"/>
    <w:rsid w:val="00374985"/>
    <w:rsid w:val="00402AAD"/>
    <w:rsid w:val="004643F1"/>
    <w:rsid w:val="00494034"/>
    <w:rsid w:val="004D4091"/>
    <w:rsid w:val="004D6FC5"/>
    <w:rsid w:val="00525408"/>
    <w:rsid w:val="00535CFF"/>
    <w:rsid w:val="0057423E"/>
    <w:rsid w:val="005A2594"/>
    <w:rsid w:val="005D3D6C"/>
    <w:rsid w:val="005F033C"/>
    <w:rsid w:val="00624B89"/>
    <w:rsid w:val="0063168A"/>
    <w:rsid w:val="006F2C69"/>
    <w:rsid w:val="007627AA"/>
    <w:rsid w:val="0077230A"/>
    <w:rsid w:val="0079390A"/>
    <w:rsid w:val="007C5860"/>
    <w:rsid w:val="007E7B9E"/>
    <w:rsid w:val="00822858"/>
    <w:rsid w:val="00840A70"/>
    <w:rsid w:val="00853658"/>
    <w:rsid w:val="008B0B26"/>
    <w:rsid w:val="008B5C08"/>
    <w:rsid w:val="008C5265"/>
    <w:rsid w:val="008F3A38"/>
    <w:rsid w:val="0094720C"/>
    <w:rsid w:val="009515F3"/>
    <w:rsid w:val="009672A9"/>
    <w:rsid w:val="00A016C6"/>
    <w:rsid w:val="00A27425"/>
    <w:rsid w:val="00A27CF1"/>
    <w:rsid w:val="00A35016"/>
    <w:rsid w:val="00A4098A"/>
    <w:rsid w:val="00A4315B"/>
    <w:rsid w:val="00A55792"/>
    <w:rsid w:val="00B6028C"/>
    <w:rsid w:val="00B71C5F"/>
    <w:rsid w:val="00BA474D"/>
    <w:rsid w:val="00BC314A"/>
    <w:rsid w:val="00BD020B"/>
    <w:rsid w:val="00C055AE"/>
    <w:rsid w:val="00C12F74"/>
    <w:rsid w:val="00C17A65"/>
    <w:rsid w:val="00C24DAD"/>
    <w:rsid w:val="00C75B01"/>
    <w:rsid w:val="00C856BC"/>
    <w:rsid w:val="00CB75E6"/>
    <w:rsid w:val="00CC37C8"/>
    <w:rsid w:val="00D23B65"/>
    <w:rsid w:val="00D56513"/>
    <w:rsid w:val="00DC5D3C"/>
    <w:rsid w:val="00DD34EE"/>
    <w:rsid w:val="00E22FF2"/>
    <w:rsid w:val="00E327D8"/>
    <w:rsid w:val="00E4251B"/>
    <w:rsid w:val="00E45BBF"/>
    <w:rsid w:val="00E53002"/>
    <w:rsid w:val="00E675BF"/>
    <w:rsid w:val="00E95D39"/>
    <w:rsid w:val="00ED5D56"/>
    <w:rsid w:val="00EE60F4"/>
    <w:rsid w:val="00F454A1"/>
    <w:rsid w:val="00F55747"/>
    <w:rsid w:val="00F8324B"/>
    <w:rsid w:val="00FA2A73"/>
    <w:rsid w:val="00FC5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74D"/>
    <w:rPr>
      <w:sz w:val="24"/>
      <w:szCs w:val="24"/>
    </w:rPr>
  </w:style>
  <w:style w:type="paragraph" w:styleId="Heading1">
    <w:name w:val="heading 1"/>
    <w:basedOn w:val="Normal"/>
    <w:next w:val="Normal"/>
    <w:qFormat/>
    <w:rsid w:val="00BA474D"/>
    <w:pPr>
      <w:keepNext/>
      <w:widowControl w:val="0"/>
      <w:tabs>
        <w:tab w:val="left" w:pos="0"/>
        <w:tab w:val="center" w:pos="5688"/>
        <w:tab w:val="left" w:pos="5760"/>
      </w:tabs>
      <w:suppressAutoHyphens/>
      <w:outlineLvl w:val="0"/>
    </w:pPr>
    <w:rPr>
      <w:rFonts w:ascii="Arial" w:hAnsi="Arial"/>
      <w:b/>
      <w:smallCaps/>
      <w:snapToGrid w:val="0"/>
      <w:sz w:val="28"/>
      <w:szCs w:val="20"/>
    </w:rPr>
  </w:style>
  <w:style w:type="paragraph" w:styleId="Heading3">
    <w:name w:val="heading 3"/>
    <w:basedOn w:val="Normal"/>
    <w:next w:val="Normal"/>
    <w:link w:val="Heading3Char"/>
    <w:qFormat/>
    <w:rsid w:val="00BA474D"/>
    <w:pPr>
      <w:keepNext/>
      <w:widowControl w:val="0"/>
      <w:tabs>
        <w:tab w:val="left" w:pos="0"/>
        <w:tab w:val="center" w:pos="5184"/>
        <w:tab w:val="left" w:pos="5760"/>
      </w:tabs>
      <w:suppressAutoHyphens/>
      <w:jc w:val="center"/>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315B"/>
    <w:pPr>
      <w:tabs>
        <w:tab w:val="center" w:pos="4320"/>
        <w:tab w:val="right" w:pos="8640"/>
      </w:tabs>
    </w:pPr>
  </w:style>
  <w:style w:type="paragraph" w:customStyle="1" w:styleId="SeriesBold">
    <w:name w:val="SeriesBold"/>
    <w:basedOn w:val="Normal"/>
    <w:next w:val="Normal"/>
    <w:rsid w:val="00A4315B"/>
    <w:pPr>
      <w:tabs>
        <w:tab w:val="left" w:pos="2880"/>
        <w:tab w:val="left" w:pos="5760"/>
      </w:tabs>
      <w:ind w:left="2880" w:hanging="2880"/>
    </w:pPr>
    <w:rPr>
      <w:b/>
      <w:bCs/>
      <w:sz w:val="22"/>
      <w:szCs w:val="22"/>
    </w:rPr>
  </w:style>
  <w:style w:type="character" w:customStyle="1" w:styleId="SeriesBoldChar">
    <w:name w:val="SeriesBold Char"/>
    <w:basedOn w:val="DefaultParagraphFont"/>
    <w:rsid w:val="00A4315B"/>
    <w:rPr>
      <w:b/>
      <w:bCs/>
      <w:sz w:val="22"/>
      <w:szCs w:val="22"/>
      <w:lang w:val="en-US" w:eastAsia="en-US"/>
    </w:rPr>
  </w:style>
  <w:style w:type="paragraph" w:customStyle="1" w:styleId="Series">
    <w:name w:val="Series"/>
    <w:basedOn w:val="Normal"/>
    <w:rsid w:val="00A4315B"/>
    <w:pPr>
      <w:tabs>
        <w:tab w:val="left" w:pos="2880"/>
        <w:tab w:val="left" w:pos="5040"/>
      </w:tabs>
      <w:ind w:left="2880" w:hanging="2880"/>
    </w:pPr>
    <w:rPr>
      <w:sz w:val="22"/>
      <w:szCs w:val="22"/>
    </w:rPr>
  </w:style>
  <w:style w:type="paragraph" w:styleId="Footer">
    <w:name w:val="footer"/>
    <w:basedOn w:val="Normal"/>
    <w:rsid w:val="00A4315B"/>
    <w:pPr>
      <w:tabs>
        <w:tab w:val="center" w:pos="4320"/>
        <w:tab w:val="right" w:pos="8640"/>
      </w:tabs>
    </w:pPr>
  </w:style>
  <w:style w:type="paragraph" w:styleId="BodyTextIndent">
    <w:name w:val="Body Text Indent"/>
    <w:basedOn w:val="Normal"/>
    <w:rsid w:val="007E7B9E"/>
    <w:rPr>
      <w:b/>
      <w:bCs/>
    </w:rPr>
  </w:style>
  <w:style w:type="paragraph" w:styleId="BodyTextIndent2">
    <w:name w:val="Body Text Indent 2"/>
    <w:basedOn w:val="Normal"/>
    <w:rsid w:val="00BA474D"/>
    <w:pPr>
      <w:spacing w:after="120" w:line="480" w:lineRule="auto"/>
      <w:ind w:left="360"/>
    </w:pPr>
  </w:style>
  <w:style w:type="paragraph" w:styleId="EndnoteText">
    <w:name w:val="endnote text"/>
    <w:basedOn w:val="Normal"/>
    <w:semiHidden/>
    <w:rsid w:val="00BA474D"/>
    <w:pPr>
      <w:widowControl w:val="0"/>
    </w:pPr>
    <w:rPr>
      <w:rFonts w:ascii="Courier" w:hAnsi="Courier"/>
      <w:snapToGrid w:val="0"/>
      <w:szCs w:val="20"/>
    </w:rPr>
  </w:style>
  <w:style w:type="character" w:customStyle="1" w:styleId="Heading3Char">
    <w:name w:val="Heading 3 Char"/>
    <w:basedOn w:val="DefaultParagraphFont"/>
    <w:link w:val="Heading3"/>
    <w:rsid w:val="00BA474D"/>
    <w:rPr>
      <w:rFonts w:ascii="Arial" w:hAnsi="Arial"/>
      <w:b/>
      <w:snapToGrid w:val="0"/>
      <w:sz w:val="22"/>
      <w:lang w:val="en-US" w:eastAsia="en-US" w:bidi="ar-SA"/>
    </w:rPr>
  </w:style>
  <w:style w:type="paragraph" w:styleId="ListParagraph">
    <w:name w:val="List Paragraph"/>
    <w:basedOn w:val="Normal"/>
    <w:uiPriority w:val="99"/>
    <w:qFormat/>
    <w:rsid w:val="00FA2A73"/>
    <w:pPr>
      <w:ind w:left="720"/>
    </w:pPr>
    <w:rPr>
      <w:rFonts w:ascii="Calibri" w:eastAsiaTheme="minorHAnsi" w:hAnsi="Calibri"/>
      <w:sz w:val="22"/>
      <w:szCs w:val="22"/>
    </w:rPr>
  </w:style>
  <w:style w:type="character" w:customStyle="1" w:styleId="HeaderChar">
    <w:name w:val="Header Char"/>
    <w:basedOn w:val="DefaultParagraphFont"/>
    <w:link w:val="Header"/>
    <w:uiPriority w:val="99"/>
    <w:rsid w:val="00FA2A73"/>
    <w:rPr>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PlainText">
    <w:name w:val="Plain Text"/>
    <w:basedOn w:val="Normal"/>
    <w:link w:val="PlainTextChar"/>
    <w:uiPriority w:val="99"/>
    <w:unhideWhenUsed/>
    <w:rsid w:val="00073FE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73FEA"/>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1180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joseph@fsu.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tacy.merritt@pfs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y.bennett@pfsf.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hristiam_joseph@dcf.state.f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960</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Series</vt:lpstr>
    </vt:vector>
  </TitlesOfParts>
  <Company>PFSF</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dc:title>
  <dc:subject/>
  <dc:creator>MIS</dc:creator>
  <cp:keywords/>
  <dc:description/>
  <cp:lastModifiedBy>MIS</cp:lastModifiedBy>
  <cp:revision>15</cp:revision>
  <dcterms:created xsi:type="dcterms:W3CDTF">2011-03-28T16:04:00Z</dcterms:created>
  <dcterms:modified xsi:type="dcterms:W3CDTF">2011-05-18T17:55:00Z</dcterms:modified>
</cp:coreProperties>
</file>